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AB729C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78DE2DA4" w14:textId="77777777" w:rsidR="003021AA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1F4A1A43" w:rsidR="00AB729C" w:rsidRPr="00AB729C" w:rsidRDefault="0077534E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>
        <w:rPr>
          <w:rFonts w:cs="Times New Roman"/>
          <w:b/>
          <w:lang w:val="sr-Cyrl-RS"/>
        </w:rPr>
        <w:t>Начелник Одељења за опште и заједничке послове</w:t>
      </w:r>
    </w:p>
    <w:p w14:paraId="096B4F26" w14:textId="752B8CFB" w:rsidR="0077534E" w:rsidRPr="00996245" w:rsidRDefault="00AB729C" w:rsidP="0077534E">
      <w:pPr>
        <w:jc w:val="both"/>
        <w:rPr>
          <w:rFonts w:cs="Times New Roman"/>
          <w:lang w:val="sr-Cyrl-RS"/>
        </w:rPr>
      </w:pP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A055CB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AB729C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 ћете </w:t>
      </w:r>
      <w:r w:rsidR="0077534E">
        <w:rPr>
          <w:rFonts w:cs="Times New Roman"/>
          <w:lang w:val="sr-Cyrl-RS"/>
        </w:rPr>
        <w:t>руководити, организовати и планирати рад Одељења, пружати стручна упутства, координирари и надзирати рад запослених у Одељењу; припремати анализе, информације и извештаје о стању у области рада Одељења; пратити и тумачити прописе из области рада Одељења; координирати рад на пословима управљања људским ресурсима</w:t>
      </w:r>
      <w:r w:rsidR="0062138C">
        <w:rPr>
          <w:rFonts w:cs="Times New Roman"/>
          <w:lang w:val="sr-Cyrl-RS"/>
        </w:rPr>
        <w:t xml:space="preserve"> и </w:t>
      </w:r>
      <w:r w:rsidR="0077534E">
        <w:rPr>
          <w:rFonts w:cs="Times New Roman"/>
          <w:lang w:val="sr-Cyrl-RS"/>
        </w:rPr>
        <w:t>врши</w:t>
      </w:r>
      <w:r w:rsidR="0062138C">
        <w:rPr>
          <w:rFonts w:cs="Times New Roman"/>
          <w:lang w:val="sr-Cyrl-RS"/>
        </w:rPr>
        <w:t>ти</w:t>
      </w:r>
      <w:r w:rsidR="0077534E">
        <w:rPr>
          <w:rFonts w:cs="Times New Roman"/>
          <w:lang w:val="sr-Cyrl-RS"/>
        </w:rPr>
        <w:t xml:space="preserve"> и друге послове из надлежности Одељења и по налогу </w:t>
      </w:r>
      <w:r w:rsidR="0062138C">
        <w:rPr>
          <w:rFonts w:cs="Times New Roman"/>
          <w:lang w:val="sr-Cyrl-RS"/>
        </w:rPr>
        <w:t>Н</w:t>
      </w:r>
      <w:r w:rsidR="0077534E">
        <w:rPr>
          <w:rFonts w:cs="Times New Roman"/>
          <w:lang w:val="sr-Cyrl-RS"/>
        </w:rPr>
        <w:t xml:space="preserve">ачелника </w:t>
      </w:r>
      <w:r w:rsidR="0062138C">
        <w:rPr>
          <w:rFonts w:cs="Times New Roman"/>
          <w:lang w:val="sr-Cyrl-RS"/>
        </w:rPr>
        <w:t>ОУ.</w:t>
      </w:r>
    </w:p>
    <w:p w14:paraId="5EB11200" w14:textId="476E6C5B" w:rsidR="00AB729C" w:rsidRPr="0062138C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AB729C" w14:paraId="0BAF8C8B" w14:textId="77777777" w:rsidTr="0062138C">
        <w:trPr>
          <w:trHeight w:val="7415"/>
        </w:trPr>
        <w:tc>
          <w:tcPr>
            <w:tcW w:w="3145" w:type="dxa"/>
          </w:tcPr>
          <w:p w14:paraId="4A0C7F1D" w14:textId="1AE361C5" w:rsidR="00C55BD7" w:rsidRPr="0062138C" w:rsidRDefault="0062138C" w:rsidP="00FB5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06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b/>
                <w:lang w:val="sr-Cyrl-RS"/>
              </w:rPr>
              <w:t>Начелник Одељења за опште и заједничке послове</w:t>
            </w:r>
          </w:p>
          <w:p w14:paraId="1414E52A" w14:textId="77777777" w:rsidR="0062138C" w:rsidRPr="00C55BD7" w:rsidRDefault="0062138C" w:rsidP="0062138C">
            <w:pPr>
              <w:pStyle w:val="ListParagraph"/>
              <w:spacing w:after="160" w:line="259" w:lineRule="auto"/>
              <w:jc w:val="both"/>
              <w:rPr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70DF7955" w14:textId="77777777" w:rsidR="0062138C" w:rsidRPr="00996245" w:rsidRDefault="00AB729C" w:rsidP="0062138C">
            <w:pPr>
              <w:jc w:val="both"/>
              <w:rPr>
                <w:rFonts w:cs="Times New Roman"/>
                <w:lang w:val="sr-Cyrl-RS"/>
              </w:rPr>
            </w:pPr>
            <w:r w:rsidRPr="00AB729C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62138C">
              <w:rPr>
                <w:rFonts w:cs="Times New Roman"/>
                <w:lang w:val="sr-Cyrl-RS"/>
              </w:rPr>
              <w:t>руководити, организовати и планирати рад Одељења, пружати стручна упутства, координирари и надзирати рад запослених у Одељењу; припремати анализе, информације и извештаје о стању у области рада Одељења; пратити и тумачити прописе из области рада Одељења; координирати рад на пословима управљања људским ресурсима и вршити и друге послове из надлежности Одељења и по налогу Начелника ОУ.</w:t>
            </w:r>
          </w:p>
          <w:p w14:paraId="483EB17B" w14:textId="77777777" w:rsidR="0062138C" w:rsidRPr="0062138C" w:rsidRDefault="0062138C" w:rsidP="0062138C">
            <w:pPr>
              <w:spacing w:after="160" w:line="259" w:lineRule="auto"/>
              <w:jc w:val="both"/>
              <w:rPr>
                <w:rFonts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5C7551B4" w14:textId="282BA269" w:rsidR="00AB729C" w:rsidRPr="00AB729C" w:rsidRDefault="00AB729C" w:rsidP="00C55BD7">
            <w:pPr>
              <w:pStyle w:val="ListParagraph"/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452C3AF6" w:rsidR="00AB729C" w:rsidRPr="00EE6C26" w:rsidRDefault="00A055CB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</w:t>
            </w:r>
            <w:r w:rsidR="00E31031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E31031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 године</w:t>
            </w:r>
          </w:p>
        </w:tc>
      </w:tr>
      <w:tr w:rsidR="00AB729C" w:rsidRPr="00AB729C" w14:paraId="56E8B50C" w14:textId="77777777" w:rsidTr="00F45DC5">
        <w:tc>
          <w:tcPr>
            <w:tcW w:w="3145" w:type="dxa"/>
          </w:tcPr>
          <w:p w14:paraId="68AF68FD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5ADA3C87" w:rsidR="00AB729C" w:rsidRPr="00EE6C26" w:rsidRDefault="00EE6C26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="00A055CB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C39FE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.0</w:t>
            </w:r>
            <w:r w:rsidR="00A055CB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AC39FE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2024.</w:t>
            </w:r>
            <w:r w:rsidR="00054F2F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.год</w:t>
            </w:r>
            <w:r w:rsidR="0062138C" w:rsidRPr="00EE6C26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ине</w:t>
            </w:r>
          </w:p>
        </w:tc>
      </w:tr>
      <w:tr w:rsidR="00AB729C" w:rsidRPr="00AB729C" w14:paraId="6D9242EE" w14:textId="77777777" w:rsidTr="00F45DC5">
        <w:tc>
          <w:tcPr>
            <w:tcW w:w="3145" w:type="dxa"/>
          </w:tcPr>
          <w:p w14:paraId="387679B5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AB729C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19ED8686" w:rsidR="009D3082" w:rsidRPr="009D3082" w:rsidRDefault="00AB729C" w:rsidP="009D3082">
            <w:pPr>
              <w:jc w:val="both"/>
              <w:rPr>
                <w:rFonts w:eastAsia="Calibri" w:cs="Times New Roman"/>
                <w:color w:val="000000"/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5 година радног искуства на пословима са високом стручном спремом </w:t>
            </w:r>
            <w:r w:rsidR="009D3082">
              <w:rPr>
                <w:rFonts w:cs="Times New Roman"/>
                <w:color w:val="000000"/>
              </w:rPr>
              <w:t>у обиму од најмање 240 ЕСП</w:t>
            </w:r>
            <w:r w:rsidR="009D3082">
              <w:rPr>
                <w:rFonts w:cs="Times New Roman"/>
                <w:color w:val="000000"/>
                <w:lang w:val="sr-Cyrl-RS"/>
              </w:rPr>
              <w:t>Б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>
              <w:rPr>
                <w:rFonts w:cs="Times New Roman"/>
                <w:lang w:val="sr-Cyrl-RS"/>
              </w:rPr>
              <w:t xml:space="preserve"> правних наука</w:t>
            </w:r>
            <w:r w:rsidR="009D3082">
              <w:rPr>
                <w:rFonts w:eastAsia="Calibri" w:cs="Times New Roman"/>
                <w:color w:val="000000"/>
                <w:lang w:val="sr-Cyrl-RS"/>
              </w:rPr>
              <w:t>.</w:t>
            </w:r>
          </w:p>
          <w:p w14:paraId="396B89CD" w14:textId="77777777" w:rsidR="00AB729C" w:rsidRP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3E5EC509" w14:textId="77777777" w:rsidTr="00F45DC5">
        <w:tc>
          <w:tcPr>
            <w:tcW w:w="3145" w:type="dxa"/>
          </w:tcPr>
          <w:p w14:paraId="1F1E8CEA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927128" w:rsidRDefault="00AB729C" w:rsidP="00AB729C">
            <w:pPr>
              <w:jc w:val="both"/>
              <w:rPr>
                <w:lang w:val="sr-Cyrl-RS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AB729C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E045D">
                <w:rPr>
                  <w:rStyle w:val="Hyperlink"/>
                </w:rPr>
                <w:t>www.pecinci.org</w:t>
              </w:r>
            </w:hyperlink>
            <w:r w:rsidR="00927128">
              <w:rPr>
                <w:lang w:val="sr-Cyrl-RS"/>
              </w:rPr>
              <w:t xml:space="preserve"> 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Пријаву попуњавајте читко и прецизно, јер ако пријава није јасна или су неки подаци лоше уписани па нису јасни, нећемо прихватити Вашу пријаву.</w:t>
            </w:r>
          </w:p>
        </w:tc>
      </w:tr>
      <w:tr w:rsidR="00AB729C" w:rsidRPr="00AB729C" w14:paraId="254E2E72" w14:textId="77777777" w:rsidTr="00F45DC5">
        <w:tc>
          <w:tcPr>
            <w:tcW w:w="3145" w:type="dxa"/>
          </w:tcPr>
          <w:p w14:paraId="54B9AE27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5.</w:t>
            </w:r>
          </w:p>
        </w:tc>
        <w:tc>
          <w:tcPr>
            <w:tcW w:w="2430" w:type="dxa"/>
            <w:shd w:val="clear" w:color="auto" w:fill="BDD6EE"/>
          </w:tcPr>
          <w:p w14:paraId="725AFDB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Које доказе достављате уз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27C500E5" w14:textId="77777777" w:rsidR="00AB729C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  <w:bookmarkStart w:id="0" w:name="_Hlk153984335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Ако имате важећи сертификат, потврду или други одговарајући писани доказ о томе да поседујете дигиталне компетенције </w:t>
            </w:r>
            <w:bookmarkEnd w:id="0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 xml:space="preserve">(знања и вештине о основама коришћења рачунара, основама коришћења интернета, обради текста и табеларним калкулацијама) </w:t>
            </w:r>
            <w:bookmarkStart w:id="1" w:name="_Hlk153984437"/>
            <w:r w:rsidRPr="00AB729C">
              <w:rPr>
                <w:rFonts w:cs="Times New Roman"/>
                <w:kern w:val="2"/>
                <w:lang w:val="sr-Cyrl-RS"/>
                <w14:ligatures w14:val="standardContextual"/>
              </w:rPr>
              <w:t>и желите да на основу њега будете ослобођени тестирања ове компетенције, можете тај доказ, у оригиналу или овереној фотокопији, приложити уз пријавни образац на овај конкурс.</w:t>
            </w:r>
          </w:p>
          <w:p w14:paraId="23C7703D" w14:textId="77777777" w:rsidR="00EF242E" w:rsidRPr="00AB729C" w:rsidRDefault="00EF242E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  <w:bookmarkEnd w:id="1"/>
          <w:p w14:paraId="7F996272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доставите ове доказе, можете бити ослобођени тестирања Опште функционалне  компетенције-дигитална писменост и освојићете 3 бода на основу овог доказа. Ако не доставите ове доказе, ипак ћете моћи да учествујете у конкурсу, али ће Комисија проверавати ту компетенцију.</w:t>
            </w:r>
          </w:p>
          <w:p w14:paraId="4BC024BC" w14:textId="653E3AB0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0CE6AF0E" w14:textId="77777777" w:rsidTr="00F45DC5">
        <w:tc>
          <w:tcPr>
            <w:tcW w:w="3145" w:type="dxa"/>
          </w:tcPr>
          <w:p w14:paraId="43587F57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6.</w:t>
            </w:r>
          </w:p>
        </w:tc>
        <w:tc>
          <w:tcPr>
            <w:tcW w:w="2430" w:type="dxa"/>
            <w:shd w:val="clear" w:color="auto" w:fill="BDD6EE"/>
          </w:tcPr>
          <w:p w14:paraId="351A01BA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остале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AB729C" w14:paraId="559E74DB" w14:textId="77777777" w:rsidTr="00F45DC5">
        <w:tc>
          <w:tcPr>
            <w:tcW w:w="3145" w:type="dxa"/>
          </w:tcPr>
          <w:p w14:paraId="08D66F86" w14:textId="77777777" w:rsidR="00AB729C" w:rsidRPr="00AB729C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Ако пријаву подносите електронским путем, на месту које је предвиђено за потпис унесите електронски потпис или наведите Ваше име и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презиме и пошаљите пријаву електронски.</w:t>
            </w:r>
          </w:p>
          <w:p w14:paraId="3F6FB5C0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AB729C" w14:paraId="5B369525" w14:textId="77777777" w:rsidTr="00F45DC5">
        <w:tc>
          <w:tcPr>
            <w:tcW w:w="3145" w:type="dxa"/>
          </w:tcPr>
          <w:p w14:paraId="3AF5D864" w14:textId="77777777" w:rsidR="00AB729C" w:rsidRPr="00773EE8" w:rsidRDefault="00773EE8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AB729C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16FC68DF" w14:textId="77777777" w:rsidTr="00F45DC5">
        <w:tc>
          <w:tcPr>
            <w:tcW w:w="3145" w:type="dxa"/>
          </w:tcPr>
          <w:p w14:paraId="5804A30D" w14:textId="77777777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3448558D" w:rsidR="00AB729C" w:rsidRPr="00085B14" w:rsidRDefault="00A055CB" w:rsidP="00AB729C">
            <w:pPr>
              <w:rPr>
                <w:rFonts w:eastAsia="Calibri" w:cs="Times New Roman"/>
                <w:color w:val="000000"/>
                <w:kern w:val="2"/>
                <w:highlight w:val="yellow"/>
                <w:lang w:val="sr-Latn-RS"/>
                <w14:ligatures w14:val="standardContextual"/>
              </w:rPr>
            </w:pPr>
            <w:r w:rsidRPr="00085B14"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О </w:t>
            </w:r>
            <w:r w:rsidRPr="00085B14">
              <w:rPr>
                <w:rFonts w:cs="Times New Roman"/>
                <w:highlight w:val="yellow"/>
                <w:lang w:val="sr-Cyrl-RS"/>
              </w:rPr>
              <w:t>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7742AB" w:rsidRPr="00AB729C" w14:paraId="57560CE9" w14:textId="77777777" w:rsidTr="00F45DC5">
        <w:tc>
          <w:tcPr>
            <w:tcW w:w="3145" w:type="dxa"/>
          </w:tcPr>
          <w:p w14:paraId="1922713E" w14:textId="4D10BBAE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595F1ABC" w14:textId="684B2121" w:rsidR="007742AB" w:rsidRPr="00A055CB" w:rsidRDefault="007742AB" w:rsidP="007742AB">
            <w:pPr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1C936972" w14:textId="77777777" w:rsidR="007742AB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333F87">
              <w:rPr>
                <w:rFonts w:eastAsia="Calibri" w:cs="Times New Roman"/>
                <w:b/>
                <w:lang w:val="sr-Cyrl-RS"/>
              </w:rPr>
              <w:t>путем тестова</w:t>
            </w:r>
            <w:r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5E40EAAB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„</w:t>
            </w:r>
            <w:r>
              <w:rPr>
                <w:rFonts w:eastAsia="Calibri" w:cs="Times New Roman"/>
                <w:lang w:val="sr-Cyrl-RS"/>
              </w:rPr>
              <w:t>о</w:t>
            </w:r>
            <w:r w:rsidRPr="00333F87">
              <w:rPr>
                <w:rFonts w:eastAsia="Calibri" w:cs="Times New Roman"/>
                <w:lang w:val="sr-Cyrl-RS"/>
              </w:rPr>
              <w:t>рганизацију и рад органа аутономне покрајине, односно локалне самоуправе у Републици Србији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, који ниво „</w:t>
            </w:r>
            <w:r>
              <w:rPr>
                <w:rFonts w:eastAsia="Calibri" w:cs="Times New Roman"/>
                <w:lang w:val="sr-Cyrl-RS"/>
              </w:rPr>
              <w:t>д</w:t>
            </w:r>
            <w:r w:rsidRPr="00333F87">
              <w:rPr>
                <w:rFonts w:eastAsia="Calibri" w:cs="Times New Roman"/>
                <w:lang w:val="sr-Cyrl-RS"/>
              </w:rPr>
              <w:t>игиталне писмености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 xml:space="preserve"> имате и каква вам је „</w:t>
            </w:r>
            <w:r>
              <w:rPr>
                <w:rFonts w:eastAsia="Calibri" w:cs="Times New Roman"/>
                <w:lang w:val="sr-Cyrl-RS"/>
              </w:rPr>
              <w:t>п</w:t>
            </w:r>
            <w:r w:rsidRPr="00333F87">
              <w:rPr>
                <w:rFonts w:eastAsia="Calibri" w:cs="Times New Roman"/>
                <w:lang w:val="sr-Cyrl-RS"/>
              </w:rPr>
              <w:t>ословна комуникациј</w:t>
            </w:r>
            <w:r>
              <w:rPr>
                <w:rFonts w:eastAsia="Calibri" w:cs="Times New Roman"/>
                <w:lang w:val="sr-Cyrl-RS"/>
              </w:rPr>
              <w:t>а</w:t>
            </w:r>
            <w:r w:rsidRPr="00E40EBB">
              <w:rPr>
                <w:rFonts w:eastAsia="Calibri" w:cs="Times New Roman"/>
                <w:lang w:val="sr-Cyrl-RS"/>
              </w:rPr>
              <w:t>”</w:t>
            </w:r>
            <w:r w:rsidRPr="00333F87">
              <w:rPr>
                <w:rFonts w:eastAsia="Calibri" w:cs="Times New Roman"/>
                <w:lang w:val="sr-Cyrl-RS"/>
              </w:rPr>
              <w:t>.</w:t>
            </w:r>
          </w:p>
          <w:p w14:paraId="7B777B0F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1B8DF98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Све ове тестове ћете радити на рачунару.</w:t>
            </w:r>
          </w:p>
          <w:p w14:paraId="1C66887D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0917584" w14:textId="248ED4B7" w:rsidR="007742AB" w:rsidRPr="00A055CB" w:rsidRDefault="007742AB" w:rsidP="007742AB">
            <w:pPr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lastRenderedPageBreak/>
              <w:t>Ови тестови ће показати ниво Ваших општих функционалних компетенција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7742AB" w:rsidRPr="00AB729C" w14:paraId="483AA230" w14:textId="77777777" w:rsidTr="00F45DC5">
        <w:tc>
          <w:tcPr>
            <w:tcW w:w="3145" w:type="dxa"/>
          </w:tcPr>
          <w:p w14:paraId="645C7816" w14:textId="3E5099FE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4A77D3B6" w14:textId="570F95A7" w:rsidR="007742AB" w:rsidRPr="00A055CB" w:rsidRDefault="007742AB" w:rsidP="007742AB">
            <w:pPr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168337E4" w14:textId="77777777" w:rsidR="007742AB" w:rsidRPr="00333F87" w:rsidRDefault="007742AB" w:rsidP="007742AB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>
              <w:rPr>
                <w:rFonts w:eastAsia="Calibri" w:cs="Times New Roman"/>
              </w:rPr>
              <w:t xml:space="preserve"> </w:t>
            </w:r>
            <w:r w:rsidRPr="00333F87">
              <w:rPr>
                <w:rFonts w:eastAsia="Calibri" w:cs="Times New Roman"/>
                <w:lang w:val="sr-Cyrl-RS"/>
              </w:rPr>
              <w:t>можете наћи базу питања за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>ОФК -</w:t>
            </w:r>
            <w:r w:rsidRPr="00595EE2">
              <w:rPr>
                <w:rFonts w:cs="Times New Roman"/>
                <w:lang w:val="sr-Cyrl-CS"/>
              </w:rPr>
              <w:t xml:space="preserve"> Организација и рад органа аутономне покрајине/локалне самоуправе у Републици Србији</w:t>
            </w:r>
            <w:r w:rsidRPr="00333F87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4303DD46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64CB028" w14:textId="77777777" w:rsidR="007742AB" w:rsidRDefault="007742AB" w:rsidP="007742AB">
            <w:pPr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На сајту</w:t>
            </w:r>
            <w:r>
              <w:rPr>
                <w:rFonts w:eastAsia="Calibri" w:cs="Times New Roman"/>
                <w:lang w:val="sr-Cyrl-RS"/>
              </w:rPr>
              <w:t xml:space="preserve"> </w:t>
            </w:r>
            <w:hyperlink r:id="rId7" w:history="1">
              <w:r w:rsidRPr="00F94F37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>
              <w:rPr>
                <w:rFonts w:eastAsia="Calibri" w:cs="Times New Roman"/>
                <w:lang w:val="sr-Cyrl-RS"/>
              </w:rPr>
              <w:t xml:space="preserve"> </w:t>
            </w:r>
          </w:p>
          <w:p w14:paraId="7201C049" w14:textId="470EAD52" w:rsidR="007742AB" w:rsidRPr="00A055CB" w:rsidRDefault="007742AB" w:rsidP="007742AB">
            <w:pPr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можете наћи примере питања са одговорима за </w:t>
            </w:r>
            <w:r>
              <w:rPr>
                <w:rFonts w:eastAsia="Calibri" w:cs="Times New Roman"/>
                <w:lang w:val="sr-Cyrl-RS"/>
              </w:rPr>
              <w:t>ОФК-</w:t>
            </w:r>
            <w:r w:rsidRPr="00595EE2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333F87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</w:t>
            </w:r>
            <w:r>
              <w:rPr>
                <w:rFonts w:eastAsia="Calibri" w:cs="Times New Roman"/>
                <w:lang w:val="sr-Cyrl-RS"/>
              </w:rPr>
              <w:t>нису</w:t>
            </w:r>
            <w:r w:rsidRPr="00333F87">
              <w:rPr>
                <w:rFonts w:eastAsia="Calibri" w:cs="Times New Roman"/>
                <w:lang w:val="sr-Cyrl-RS"/>
              </w:rPr>
              <w:t xml:space="preserve"> идентични</w:t>
            </w:r>
            <w:r>
              <w:rPr>
                <w:rFonts w:eastAsia="Calibri" w:cs="Times New Roman"/>
                <w:lang w:val="sr-Cyrl-RS"/>
              </w:rPr>
              <w:t xml:space="preserve"> као они који ће бити дати</w:t>
            </w:r>
            <w:r w:rsidRPr="00333F87">
              <w:rPr>
                <w:rFonts w:eastAsia="Calibri" w:cs="Times New Roman"/>
                <w:lang w:val="sr-Cyrl-RS"/>
              </w:rPr>
              <w:t xml:space="preserve"> на тестирању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7742AB" w:rsidRPr="00AB729C" w14:paraId="0D90EFED" w14:textId="77777777" w:rsidTr="00F45DC5">
        <w:tc>
          <w:tcPr>
            <w:tcW w:w="3145" w:type="dxa"/>
          </w:tcPr>
          <w:p w14:paraId="66B6BFBF" w14:textId="2EB6F9BE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12.</w:t>
            </w:r>
          </w:p>
        </w:tc>
        <w:tc>
          <w:tcPr>
            <w:tcW w:w="2430" w:type="dxa"/>
            <w:shd w:val="clear" w:color="auto" w:fill="BDD6EE"/>
          </w:tcPr>
          <w:p w14:paraId="0BE6ED03" w14:textId="7C498944" w:rsidR="007742AB" w:rsidRPr="00A055CB" w:rsidRDefault="007742AB" w:rsidP="007742AB">
            <w:pPr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kern w:val="2"/>
                <w:highlight w:val="yellow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351F51C6" w14:textId="191C04DF" w:rsidR="007742AB" w:rsidRPr="00A055CB" w:rsidRDefault="007742AB" w:rsidP="007742AB">
            <w:pPr>
              <w:rPr>
                <w:rFonts w:eastAsia="Calibri" w:cs="Times New Roman"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</w:tc>
      </w:tr>
      <w:tr w:rsidR="00AB729C" w:rsidRPr="00AB729C" w14:paraId="6B38E6CC" w14:textId="77777777" w:rsidTr="00F45DC5">
        <w:tc>
          <w:tcPr>
            <w:tcW w:w="3145" w:type="dxa"/>
          </w:tcPr>
          <w:p w14:paraId="530BCAB5" w14:textId="7F706C7E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13.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4FF6A32D" w:rsidR="00AB729C" w:rsidRPr="00AB729C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F80ED2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F80ED2">
              <w:rPr>
                <w:rFonts w:cs="Times New Roman"/>
                <w:b/>
                <w:lang w:val="sr-Cyrl-RS"/>
              </w:rPr>
              <w:t xml:space="preserve"> </w:t>
            </w:r>
            <w:r w:rsidR="00F80ED2">
              <w:rPr>
                <w:rFonts w:cs="Times New Roman"/>
                <w:b/>
                <w:lang w:val="sr-Cyrl-RS"/>
              </w:rPr>
              <w:t xml:space="preserve">послове руковођења, </w:t>
            </w:r>
            <w:r w:rsidR="00F80ED2">
              <w:rPr>
                <w:rFonts w:cs="Times New Roman"/>
                <w:b/>
                <w:lang w:val="sr-Cyrl-RS"/>
              </w:rPr>
              <w:lastRenderedPageBreak/>
              <w:t>релевантне прописе из делокруга радног места</w:t>
            </w:r>
          </w:p>
        </w:tc>
      </w:tr>
      <w:tr w:rsidR="00AB729C" w:rsidRPr="00AB729C" w14:paraId="183BA6A4" w14:textId="77777777" w:rsidTr="00F45DC5">
        <w:tc>
          <w:tcPr>
            <w:tcW w:w="3145" w:type="dxa"/>
          </w:tcPr>
          <w:p w14:paraId="00FB0F7F" w14:textId="52B262A3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A055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3618D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3618D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062EE036" w:rsidR="00AB729C" w:rsidRDefault="00AB729C" w:rsidP="00C55BD7">
            <w:pPr>
              <w:rPr>
                <w:rFonts w:cs="Times New Roman"/>
                <w:lang w:val="sr-Latn-RS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3618DC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>
              <w:rPr>
                <w:kern w:val="2"/>
                <w:lang w:val="sr-Cyrl-RS"/>
                <w14:ligatures w14:val="standardContextual"/>
              </w:rPr>
              <w:t xml:space="preserve">Закон о општем управном поступку, </w:t>
            </w:r>
            <w:r w:rsidR="003618DC" w:rsidRPr="003618DC">
              <w:rPr>
                <w:rFonts w:cs="Times New Roman"/>
                <w:lang w:val="sr-Cyrl-RS"/>
              </w:rPr>
              <w:t>Закон о запосленима у аутономним покрајинама и јединицама локалне самоуправе</w:t>
            </w:r>
          </w:p>
          <w:p w14:paraId="1594B944" w14:textId="77777777" w:rsidR="00477064" w:rsidRPr="00477064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7845DBCE" w14:textId="51AABCE7" w:rsidR="003618DC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="003618DC" w:rsidRPr="002E045D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58C60744" w14:textId="77777777" w:rsidR="003618DC" w:rsidRPr="003618DC" w:rsidRDefault="003618D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FF74631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3618DC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3618DC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3618D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3618D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пронаћи ћете примере задатака за проверу ПФК у државним органима. Сличну поставку задатака за проверу компетенција можете очекивати и у овом изборном поступку.</w:t>
            </w:r>
          </w:p>
        </w:tc>
      </w:tr>
      <w:tr w:rsidR="00AB729C" w:rsidRPr="00AB729C" w14:paraId="1571AA0A" w14:textId="77777777" w:rsidTr="00F45DC5">
        <w:tc>
          <w:tcPr>
            <w:tcW w:w="3145" w:type="dxa"/>
          </w:tcPr>
          <w:p w14:paraId="43749CD9" w14:textId="408F309C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055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AB729C" w14:paraId="33053E1C" w14:textId="77777777" w:rsidTr="00F45DC5">
        <w:tc>
          <w:tcPr>
            <w:tcW w:w="3145" w:type="dxa"/>
          </w:tcPr>
          <w:p w14:paraId="4494FF60" w14:textId="0D60A52C" w:rsidR="00AB729C" w:rsidRPr="00AB729C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A055CB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EE6C26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EE6C26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На завршном разговору ћемо проверавати ваш</w:t>
            </w:r>
            <w:r w:rsidR="00B322AE"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EE6C26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7742AB" w:rsidRPr="00AB729C" w14:paraId="1F2C6B85" w14:textId="77777777" w:rsidTr="00F45DC5">
        <w:tc>
          <w:tcPr>
            <w:tcW w:w="3145" w:type="dxa"/>
          </w:tcPr>
          <w:p w14:paraId="383C6F10" w14:textId="51518907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017D9A86" w14:textId="426A9E12" w:rsidR="007742AB" w:rsidRPr="00A055CB" w:rsidRDefault="007742AB" w:rsidP="007742AB">
            <w:pPr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5EFFF30D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1C1C2B64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7FB963DB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</w:t>
            </w:r>
            <w:r>
              <w:rPr>
                <w:rFonts w:eastAsia="Calibri" w:cs="Times New Roman"/>
                <w:lang w:val="sr-Cyrl-RS"/>
              </w:rPr>
              <w:t>,</w:t>
            </w:r>
            <w:r w:rsidRPr="00333F87">
              <w:rPr>
                <w:rFonts w:eastAsia="Calibri" w:cs="Times New Roman"/>
                <w:lang w:val="sr-Cyrl-RS"/>
              </w:rPr>
              <w:t xml:space="preserve"> које утичу на то како ћете се понашати у радној ситуацији и колико ћете успешно обављате послове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0638C22C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A9DB4C3" w14:textId="4A7DBDF8" w:rsidR="007742AB" w:rsidRPr="00A055CB" w:rsidRDefault="007742AB" w:rsidP="007742AB">
            <w:pPr>
              <w:jc w:val="both"/>
              <w:rPr>
                <w:rFonts w:eastAsia="Calibri" w:cs="Times New Roman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На овом конкурсу процењиваћемо на који начин користите </w:t>
            </w:r>
            <w:r>
              <w:rPr>
                <w:rFonts w:eastAsia="Calibri" w:cs="Times New Roman"/>
                <w:lang w:val="sr-Cyrl-RS"/>
              </w:rPr>
              <w:t xml:space="preserve">информације </w:t>
            </w:r>
            <w:r w:rsidRPr="00333F87">
              <w:rPr>
                <w:rFonts w:eastAsia="Calibri" w:cs="Times New Roman"/>
                <w:lang w:val="sr-Cyrl-RS"/>
              </w:rPr>
              <w:t>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</w:t>
            </w:r>
            <w:r>
              <w:rPr>
                <w:rFonts w:eastAsia="Calibri" w:cs="Times New Roman"/>
                <w:lang w:val="sr-Cyrl-RS"/>
              </w:rPr>
              <w:t>е</w:t>
            </w:r>
            <w:r w:rsidRPr="00333F87">
              <w:rPr>
                <w:rFonts w:eastAsia="Calibri" w:cs="Times New Roman"/>
                <w:lang w:val="sr-Cyrl-RS"/>
              </w:rPr>
              <w:t>, да ли сте савесни, посвећени свом послу и имате интегритет. Све ово су понашајне компетенције.</w:t>
            </w:r>
          </w:p>
        </w:tc>
      </w:tr>
      <w:tr w:rsidR="007742AB" w:rsidRPr="00AB729C" w14:paraId="357CCDC5" w14:textId="77777777" w:rsidTr="00F45DC5">
        <w:tc>
          <w:tcPr>
            <w:tcW w:w="3145" w:type="dxa"/>
          </w:tcPr>
          <w:p w14:paraId="111FC9CC" w14:textId="48D582AF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0B8D627E" w14:textId="0E627BD5" w:rsidR="007742AB" w:rsidRPr="00A055CB" w:rsidRDefault="007742AB" w:rsidP="007742AB">
            <w:pPr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54ED9E78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</w:t>
            </w:r>
            <w:r>
              <w:rPr>
                <w:rFonts w:eastAsia="Calibri" w:cs="Times New Roman"/>
                <w:lang w:val="sr-Cyrl-RS"/>
              </w:rPr>
              <w:t>м</w:t>
            </w:r>
            <w:r w:rsidRPr="00333F87">
              <w:rPr>
                <w:rFonts w:eastAsia="Calibri" w:cs="Times New Roman"/>
                <w:lang w:val="sr-Cyrl-RS"/>
              </w:rPr>
              <w:t xml:space="preserve"> које обучено да их проверава</w:t>
            </w:r>
            <w:r>
              <w:rPr>
                <w:rFonts w:eastAsia="Calibri" w:cs="Times New Roman"/>
                <w:lang w:val="sr-Cyrl-RS"/>
              </w:rPr>
              <w:t>.</w:t>
            </w:r>
          </w:p>
          <w:p w14:paraId="3AE55775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B58F2A2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Приликом интервјуа биће вам постављана питања у вези са вашим претходним професионалним искуством. Од вас ће се тражити да јасно опишите како сте се понашали у конкретним радним ситуацијама на радним местима на којима сте радили.</w:t>
            </w:r>
          </w:p>
          <w:p w14:paraId="6E60DD22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A0824E9" w14:textId="1510489B" w:rsidR="007742AB" w:rsidRPr="00A055CB" w:rsidRDefault="007742AB" w:rsidP="007742AB">
            <w:pPr>
              <w:jc w:val="both"/>
              <w:rPr>
                <w:rFonts w:eastAsia="Calibri" w:cs="Times New Roman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 xml:space="preserve">Лице које води интервју ће вам постављати различита питања, а у одговорима ће очекивати да опишете ситуацију о којој сте питани,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аше поступке, шта сте урадили, о чему сте тада размишљали, како сте се осећали, каква је била реакција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 xml:space="preserve">аших сарадника или претпостављених, какве су биле последице по </w:t>
            </w:r>
            <w:r>
              <w:rPr>
                <w:rFonts w:eastAsia="Calibri" w:cs="Times New Roman"/>
                <w:lang w:val="sr-Cyrl-RS"/>
              </w:rPr>
              <w:t>В</w:t>
            </w:r>
            <w:r w:rsidRPr="00333F87">
              <w:rPr>
                <w:rFonts w:eastAsia="Calibri" w:cs="Times New Roman"/>
                <w:lang w:val="sr-Cyrl-RS"/>
              </w:rPr>
              <w:t>ас и организацију и др</w:t>
            </w:r>
            <w:r>
              <w:rPr>
                <w:rFonts w:eastAsia="Calibri" w:cs="Times New Roman"/>
                <w:lang w:val="sr-Cyrl-RS"/>
              </w:rPr>
              <w:t>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7742AB" w:rsidRPr="00AB729C" w14:paraId="21EA4651" w14:textId="77777777" w:rsidTr="00F45DC5">
        <w:tc>
          <w:tcPr>
            <w:tcW w:w="3145" w:type="dxa"/>
          </w:tcPr>
          <w:p w14:paraId="141B9F1C" w14:textId="6512461A" w:rsidR="007742AB" w:rsidRPr="00A055CB" w:rsidRDefault="007742AB" w:rsidP="007742AB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02B3BB16" w14:textId="70EE8EB6" w:rsidR="007742AB" w:rsidRPr="00A055CB" w:rsidRDefault="007742AB" w:rsidP="007742AB">
            <w:pPr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</w:pPr>
            <w:r w:rsidRPr="00A055CB">
              <w:rPr>
                <w:rFonts w:eastAsia="Calibri" w:cs="Times New Roman"/>
                <w:b/>
                <w:bCs/>
                <w:color w:val="000000"/>
                <w:kern w:val="2"/>
                <w:highlight w:val="yellow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2CBE217A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1516FD85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E0893A3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1A149029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1EB345C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  <w:r w:rsidRPr="00333F87">
              <w:rPr>
                <w:rFonts w:eastAsia="Calibri" w:cs="Times New Roman"/>
                <w:lang w:val="sr-Cyrl-RS"/>
              </w:rPr>
      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      </w:r>
          </w:p>
          <w:p w14:paraId="5744817E" w14:textId="77777777" w:rsidR="007742AB" w:rsidRPr="00333F87" w:rsidRDefault="007742AB" w:rsidP="007742AB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41CDA2A" w14:textId="7A2890F7" w:rsidR="007742AB" w:rsidRPr="00A055CB" w:rsidRDefault="007742AB" w:rsidP="007742AB">
            <w:pPr>
              <w:jc w:val="both"/>
              <w:rPr>
                <w:rFonts w:eastAsia="Calibri" w:cs="Times New Roman"/>
                <w:kern w:val="2"/>
                <w:highlight w:val="yellow"/>
                <w:lang w:val="sr-Cyrl-RS"/>
                <w14:ligatures w14:val="standardContextual"/>
              </w:rPr>
            </w:pPr>
            <w:r w:rsidRPr="00333F87">
              <w:rPr>
                <w:rFonts w:eastAsia="Calibri" w:cs="Times New Roman"/>
                <w:lang w:val="sr-Cyrl-RS"/>
              </w:rPr>
              <w:t>Потребно је да на интервју дођете одморни, концентрисани и припремљени да ток</w:t>
            </w:r>
            <w:r>
              <w:rPr>
                <w:rFonts w:eastAsia="Calibri" w:cs="Times New Roman"/>
                <w:lang w:val="sr-Cyrl-RS"/>
              </w:rPr>
              <w:t>ом</w:t>
            </w:r>
            <w:r w:rsidRPr="00333F87">
              <w:rPr>
                <w:rFonts w:eastAsia="Calibri" w:cs="Times New Roman"/>
                <w:lang w:val="sr-Cyrl-RS"/>
              </w:rPr>
              <w:t xml:space="preserve"> сат </w:t>
            </w:r>
            <w:r w:rsidRPr="00333F87">
              <w:rPr>
                <w:rFonts w:eastAsia="Calibri" w:cs="Times New Roman"/>
                <w:lang w:val="sr-Cyrl-RS"/>
              </w:rPr>
              <w:lastRenderedPageBreak/>
              <w:t>времена разговора прикажете себе, односно своје компетенције, најбоље што можете.</w:t>
            </w:r>
          </w:p>
        </w:tc>
      </w:tr>
      <w:tr w:rsidR="00AB729C" w:rsidRPr="00AB729C" w14:paraId="648DB867" w14:textId="77777777" w:rsidTr="00F45DC5">
        <w:tc>
          <w:tcPr>
            <w:tcW w:w="3145" w:type="dxa"/>
          </w:tcPr>
          <w:p w14:paraId="21ADAA2B" w14:textId="05667172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 (путем интернет странице, преко познаника, пријатеља…).</w:t>
            </w:r>
          </w:p>
          <w:p w14:paraId="13F7F07C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AB729C" w:rsidRPr="00AB729C" w14:paraId="5C3EF6C1" w14:textId="77777777" w:rsidTr="00F45DC5">
        <w:tc>
          <w:tcPr>
            <w:tcW w:w="3145" w:type="dxa"/>
          </w:tcPr>
          <w:p w14:paraId="2BE8230F" w14:textId="56F1CC47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21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AB729C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AB729C" w14:paraId="52BC3BB7" w14:textId="77777777" w:rsidTr="00F45DC5">
        <w:tc>
          <w:tcPr>
            <w:tcW w:w="3145" w:type="dxa"/>
          </w:tcPr>
          <w:p w14:paraId="768D346F" w14:textId="5F49871A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22</w:t>
            </w:r>
            <w:r w:rsid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AB729C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CAD5B11" w14:textId="77777777" w:rsidTr="00F45DC5">
        <w:tc>
          <w:tcPr>
            <w:tcW w:w="3145" w:type="dxa"/>
          </w:tcPr>
          <w:p w14:paraId="1A4BBE04" w14:textId="4179A6D6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AB729C" w14:paraId="515702D8" w14:textId="77777777" w:rsidTr="00F45DC5">
        <w:tc>
          <w:tcPr>
            <w:tcW w:w="3145" w:type="dxa"/>
          </w:tcPr>
          <w:p w14:paraId="118B6F2C" w14:textId="3520550E" w:rsidR="00AB729C" w:rsidRPr="00AB729C" w:rsidRDefault="00A055CB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24</w:t>
            </w:r>
            <w:r w:rsid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AB729C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AB729C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AB729C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AB729C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AB729C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AB729C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26830A39" w:rsidR="00AB729C" w:rsidRPr="00773EE8" w:rsidRDefault="00A055CB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25</w:t>
            </w:r>
            <w:r w:rsidR="00773EE8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AB729C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AB729C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</w:t>
            </w:r>
            <w:r w:rsidR="00B322AE"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задуженом за </w:t>
            </w:r>
            <w:r w:rsidR="00B322AE" w:rsidRPr="00B322AE">
              <w:rPr>
                <w:lang w:val="sr-Cyrl-RS"/>
              </w:rPr>
              <w:t xml:space="preserve">послове </w:t>
            </w:r>
            <w:r w:rsidR="00B322AE" w:rsidRPr="00B322AE">
              <w:rPr>
                <w:lang w:val="sr-Cyrl-RS"/>
              </w:rPr>
              <w:lastRenderedPageBreak/>
              <w:t>управљања људским ресурсима</w:t>
            </w:r>
            <w:r w:rsidRP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на тел. 022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AB729C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EE6C26" w:rsidRDefault="004359BB">
      <w:pPr>
        <w:rPr>
          <w:lang w:val="sr-Latn-RS"/>
        </w:rPr>
      </w:pPr>
    </w:p>
    <w:sectPr w:rsidR="004359BB" w:rsidRPr="00EE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54F2F"/>
    <w:rsid w:val="00085B14"/>
    <w:rsid w:val="00094BD2"/>
    <w:rsid w:val="001B6C7A"/>
    <w:rsid w:val="00281F08"/>
    <w:rsid w:val="00285E6B"/>
    <w:rsid w:val="003021AA"/>
    <w:rsid w:val="003618DC"/>
    <w:rsid w:val="004359BB"/>
    <w:rsid w:val="00477064"/>
    <w:rsid w:val="00561313"/>
    <w:rsid w:val="005B5687"/>
    <w:rsid w:val="005D2413"/>
    <w:rsid w:val="0062138C"/>
    <w:rsid w:val="00741905"/>
    <w:rsid w:val="00767820"/>
    <w:rsid w:val="00773EE8"/>
    <w:rsid w:val="007742AB"/>
    <w:rsid w:val="0077534E"/>
    <w:rsid w:val="008371A3"/>
    <w:rsid w:val="008F01FF"/>
    <w:rsid w:val="00927128"/>
    <w:rsid w:val="009D3082"/>
    <w:rsid w:val="00A055CB"/>
    <w:rsid w:val="00A629D8"/>
    <w:rsid w:val="00AB729C"/>
    <w:rsid w:val="00AC39FE"/>
    <w:rsid w:val="00B322AE"/>
    <w:rsid w:val="00C55BD7"/>
    <w:rsid w:val="00E31031"/>
    <w:rsid w:val="00EE6C26"/>
    <w:rsid w:val="00EF242E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18</cp:revision>
  <cp:lastPrinted>2024-07-02T06:17:00Z</cp:lastPrinted>
  <dcterms:created xsi:type="dcterms:W3CDTF">2024-05-28T06:10:00Z</dcterms:created>
  <dcterms:modified xsi:type="dcterms:W3CDTF">2024-07-02T06:27:00Z</dcterms:modified>
</cp:coreProperties>
</file>