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66224AC0" w:rsidR="00830CAE" w:rsidRPr="00D43548" w:rsidRDefault="00830CAE" w:rsidP="00830CAE">
      <w:pPr>
        <w:spacing w:after="0" w:line="240" w:lineRule="auto"/>
        <w:rPr>
          <w:rFonts w:ascii="Times New Roman" w:hAnsi="Times New Roman"/>
          <w:b/>
          <w:sz w:val="24"/>
          <w:szCs w:val="24"/>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6449A8">
        <w:rPr>
          <w:rFonts w:ascii="Times New Roman" w:hAnsi="Times New Roman"/>
          <w:b/>
          <w:sz w:val="24"/>
          <w:szCs w:val="24"/>
          <w:lang w:val="sr-Cyrl-RS"/>
        </w:rPr>
        <w:t>0</w:t>
      </w:r>
      <w:r w:rsidR="00C226EB">
        <w:rPr>
          <w:rFonts w:ascii="Times New Roman" w:hAnsi="Times New Roman"/>
          <w:b/>
          <w:sz w:val="24"/>
          <w:szCs w:val="24"/>
        </w:rPr>
        <w:t>3</w:t>
      </w:r>
      <w:r w:rsidR="006449A8">
        <w:rPr>
          <w:rFonts w:ascii="Times New Roman" w:hAnsi="Times New Roman"/>
          <w:b/>
          <w:sz w:val="24"/>
          <w:szCs w:val="24"/>
          <w:lang w:val="sr-Cyrl-RS"/>
        </w:rPr>
        <w:t>.</w:t>
      </w:r>
      <w:r w:rsidR="00530118">
        <w:rPr>
          <w:rFonts w:ascii="Times New Roman" w:hAnsi="Times New Roman"/>
          <w:b/>
          <w:sz w:val="24"/>
          <w:szCs w:val="24"/>
        </w:rPr>
        <w:t>06</w:t>
      </w:r>
      <w:r w:rsidR="00D43548">
        <w:rPr>
          <w:rFonts w:ascii="Times New Roman" w:hAnsi="Times New Roman"/>
          <w:b/>
          <w:sz w:val="24"/>
          <w:szCs w:val="24"/>
        </w:rPr>
        <w:t>.2026.</w:t>
      </w:r>
    </w:p>
    <w:p w14:paraId="50381BBA" w14:textId="60E0C251"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sidR="00C226EB">
        <w:rPr>
          <w:rFonts w:ascii="Times New Roman" w:hAnsi="Times New Roman"/>
          <w:b/>
          <w:sz w:val="24"/>
          <w:szCs w:val="24"/>
        </w:rPr>
        <w:t>432/2026</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10AFBE9D"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2E33B4E7" w14:textId="77777777" w:rsidR="00530118" w:rsidRDefault="00530118" w:rsidP="006449A8">
      <w:pPr>
        <w:spacing w:after="0" w:line="240" w:lineRule="auto"/>
        <w:jc w:val="both"/>
        <w:rPr>
          <w:rFonts w:ascii="Times New Roman" w:hAnsi="Times New Roman"/>
          <w:b/>
          <w:bCs/>
          <w:sz w:val="24"/>
          <w:szCs w:val="24"/>
        </w:rPr>
      </w:pPr>
    </w:p>
    <w:p w14:paraId="6AEB9EF2" w14:textId="227CF0EF" w:rsidR="00830CAE" w:rsidRDefault="00530118" w:rsidP="006449A8">
      <w:pPr>
        <w:spacing w:after="0" w:line="240" w:lineRule="auto"/>
        <w:jc w:val="both"/>
        <w:rPr>
          <w:rFonts w:ascii="Times New Roman" w:hAnsi="Times New Roman"/>
          <w:sz w:val="24"/>
          <w:szCs w:val="24"/>
          <w:lang w:val="sr-Cyrl-CS"/>
        </w:rPr>
      </w:pPr>
      <w:r>
        <w:rPr>
          <w:rFonts w:ascii="Times New Roman" w:hAnsi="Times New Roman"/>
          <w:b/>
          <w:bCs/>
          <w:sz w:val="24"/>
          <w:szCs w:val="24"/>
        </w:rPr>
        <w:t xml:space="preserve">2285/25, 2285/70, 2285/92, 2285/93, </w:t>
      </w:r>
      <w:r w:rsidRPr="00984371">
        <w:rPr>
          <w:rFonts w:ascii="Times New Roman" w:hAnsi="Times New Roman"/>
          <w:b/>
          <w:bCs/>
          <w:sz w:val="24"/>
          <w:szCs w:val="24"/>
        </w:rPr>
        <w:t xml:space="preserve">2285/103, 2285/104, </w:t>
      </w:r>
      <w:r>
        <w:rPr>
          <w:rFonts w:ascii="Times New Roman" w:hAnsi="Times New Roman"/>
          <w:b/>
          <w:bCs/>
          <w:sz w:val="24"/>
          <w:szCs w:val="24"/>
        </w:rPr>
        <w:t xml:space="preserve">2285/115 </w:t>
      </w:r>
      <w:r w:rsidR="00830CAE">
        <w:rPr>
          <w:rFonts w:ascii="Times New Roman" w:hAnsi="Times New Roman"/>
          <w:sz w:val="24"/>
          <w:szCs w:val="24"/>
          <w:lang w:val="sr-Cyrl-CS"/>
        </w:rPr>
        <w:t>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случају да се гради више објеката на грађевинској парцели/комплексу, обезбедити потребне 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w:t>
      </w:r>
      <w:r>
        <w:rPr>
          <w:rFonts w:ascii="Times New Roman" w:hAnsi="Times New Roman"/>
          <w:color w:val="000000"/>
          <w:sz w:val="24"/>
          <w:szCs w:val="24"/>
          <w:lang w:val="sr-Cyrl-RS"/>
        </w:rPr>
        <w:lastRenderedPageBreak/>
        <w:t>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6F4F0944" w14:textId="77777777" w:rsidR="00530118" w:rsidRDefault="00530118" w:rsidP="00530118">
      <w:pPr>
        <w:spacing w:after="0" w:line="240" w:lineRule="auto"/>
        <w:ind w:firstLine="540"/>
        <w:jc w:val="both"/>
        <w:rPr>
          <w:rFonts w:ascii="Times New Roman" w:hAnsi="Times New Roman"/>
          <w:sz w:val="24"/>
          <w:szCs w:val="24"/>
        </w:rPr>
      </w:pPr>
      <w:r>
        <w:rPr>
          <w:rFonts w:ascii="Times New Roman" w:hAnsi="Times New Roman"/>
          <w:b/>
          <w:bCs/>
          <w:sz w:val="24"/>
          <w:szCs w:val="24"/>
        </w:rPr>
        <w:t>3.525</w:t>
      </w:r>
      <w:r>
        <w:rPr>
          <w:rFonts w:ascii="Times New Roman" w:hAnsi="Times New Roman"/>
          <w:b/>
          <w:bCs/>
          <w:sz w:val="24"/>
          <w:szCs w:val="24"/>
          <w:lang w:val="sr-Cyrl-CS"/>
        </w:rPr>
        <w:t>,00</w:t>
      </w:r>
      <w:r>
        <w:rPr>
          <w:rFonts w:ascii="Times New Roman" w:hAnsi="Times New Roman"/>
          <w:sz w:val="24"/>
          <w:szCs w:val="24"/>
          <w:lang w:val="sr-Cyrl-CS"/>
        </w:rPr>
        <w:t xml:space="preserve"> динара/м</w:t>
      </w:r>
      <w:r>
        <w:rPr>
          <w:rFonts w:ascii="Times New Roman" w:hAnsi="Times New Roman"/>
          <w:sz w:val="24"/>
          <w:szCs w:val="24"/>
          <w:vertAlign w:val="superscript"/>
          <w:lang w:val="sr-Cyrl-CS"/>
        </w:rPr>
        <w:t>2</w:t>
      </w:r>
      <w:r>
        <w:rPr>
          <w:rFonts w:ascii="Times New Roman" w:hAnsi="Times New Roman"/>
          <w:sz w:val="24"/>
          <w:szCs w:val="24"/>
          <w:lang w:val="sr-Cyrl-CS"/>
        </w:rPr>
        <w:t>,</w:t>
      </w:r>
      <w:r>
        <w:rPr>
          <w:rFonts w:ascii="Times New Roman" w:hAnsi="Times New Roman"/>
          <w:b/>
          <w:sz w:val="24"/>
          <w:szCs w:val="24"/>
          <w:lang w:val="sr-Cyrl-CS"/>
        </w:rPr>
        <w:t xml:space="preserve"> </w:t>
      </w:r>
      <w:r>
        <w:rPr>
          <w:rFonts w:ascii="Times New Roman" w:hAnsi="Times New Roman"/>
          <w:sz w:val="24"/>
          <w:szCs w:val="24"/>
          <w:lang w:val="sr-Cyrl-CS"/>
        </w:rPr>
        <w:t>односно</w:t>
      </w:r>
      <w:r>
        <w:rPr>
          <w:rFonts w:ascii="Times New Roman" w:hAnsi="Times New Roman"/>
          <w:b/>
          <w:sz w:val="24"/>
          <w:szCs w:val="24"/>
          <w:lang w:val="sr-Cyrl-CS"/>
        </w:rPr>
        <w:t xml:space="preserve"> </w:t>
      </w:r>
      <w:r>
        <w:rPr>
          <w:rFonts w:ascii="Times New Roman" w:hAnsi="Times New Roman"/>
          <w:sz w:val="24"/>
          <w:szCs w:val="24"/>
          <w:lang w:val="sr-Cyrl-CS"/>
        </w:rPr>
        <w:t>укупно за</w:t>
      </w:r>
    </w:p>
    <w:p w14:paraId="462372C2"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25</w:t>
      </w:r>
      <w:r>
        <w:rPr>
          <w:rFonts w:ascii="Times New Roman" w:hAnsi="Times New Roman"/>
          <w:sz w:val="24"/>
          <w:szCs w:val="24"/>
          <w:lang w:val="sr-Cyrl-RS"/>
        </w:rPr>
        <w:t xml:space="preserve">, површине </w:t>
      </w:r>
      <w:r>
        <w:rPr>
          <w:rFonts w:ascii="Times New Roman" w:hAnsi="Times New Roman"/>
          <w:sz w:val="24"/>
          <w:szCs w:val="24"/>
        </w:rPr>
        <w:t>779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2.745.975,00</w:t>
      </w:r>
      <w:r>
        <w:rPr>
          <w:rFonts w:ascii="Times New Roman" w:hAnsi="Times New Roman"/>
          <w:sz w:val="24"/>
          <w:szCs w:val="24"/>
          <w:lang w:val="sr-Cyrl-RS"/>
        </w:rPr>
        <w:t>динара;</w:t>
      </w:r>
    </w:p>
    <w:p w14:paraId="58F65C75"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70</w:t>
      </w:r>
      <w:r>
        <w:rPr>
          <w:rFonts w:ascii="Times New Roman" w:hAnsi="Times New Roman"/>
          <w:sz w:val="24"/>
          <w:szCs w:val="24"/>
          <w:lang w:val="sr-Cyrl-RS"/>
        </w:rPr>
        <w:t xml:space="preserve">, површине </w:t>
      </w:r>
      <w:r>
        <w:rPr>
          <w:rFonts w:ascii="Times New Roman" w:hAnsi="Times New Roman"/>
          <w:sz w:val="24"/>
          <w:szCs w:val="24"/>
        </w:rPr>
        <w:t>948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3.341.700,00</w:t>
      </w:r>
      <w:r>
        <w:rPr>
          <w:rFonts w:ascii="Times New Roman" w:hAnsi="Times New Roman"/>
          <w:sz w:val="24"/>
          <w:szCs w:val="24"/>
          <w:lang w:val="sr-Cyrl-RS"/>
        </w:rPr>
        <w:t>динара;</w:t>
      </w:r>
    </w:p>
    <w:p w14:paraId="7E45E87D"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92</w:t>
      </w:r>
      <w:r>
        <w:rPr>
          <w:rFonts w:ascii="Times New Roman" w:hAnsi="Times New Roman"/>
          <w:sz w:val="24"/>
          <w:szCs w:val="24"/>
          <w:lang w:val="sr-Cyrl-RS"/>
        </w:rPr>
        <w:t xml:space="preserve">, површине </w:t>
      </w:r>
      <w:r>
        <w:rPr>
          <w:rFonts w:ascii="Times New Roman" w:hAnsi="Times New Roman"/>
          <w:sz w:val="24"/>
          <w:szCs w:val="24"/>
        </w:rPr>
        <w:t>736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2.594.400,00</w:t>
      </w:r>
      <w:r>
        <w:rPr>
          <w:rFonts w:ascii="Times New Roman" w:hAnsi="Times New Roman"/>
          <w:sz w:val="24"/>
          <w:szCs w:val="24"/>
          <w:lang w:val="sr-Cyrl-RS"/>
        </w:rPr>
        <w:t>динара;</w:t>
      </w:r>
    </w:p>
    <w:p w14:paraId="5AF50A81"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93</w:t>
      </w:r>
      <w:r>
        <w:rPr>
          <w:rFonts w:ascii="Times New Roman" w:hAnsi="Times New Roman"/>
          <w:sz w:val="24"/>
          <w:szCs w:val="24"/>
          <w:lang w:val="sr-Cyrl-RS"/>
        </w:rPr>
        <w:t xml:space="preserve">, површине </w:t>
      </w:r>
      <w:r>
        <w:rPr>
          <w:rFonts w:ascii="Times New Roman" w:hAnsi="Times New Roman"/>
          <w:sz w:val="24"/>
          <w:szCs w:val="24"/>
        </w:rPr>
        <w:t>497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1.751.925,00</w:t>
      </w:r>
      <w:r>
        <w:rPr>
          <w:rFonts w:ascii="Times New Roman" w:hAnsi="Times New Roman"/>
          <w:sz w:val="24"/>
          <w:szCs w:val="24"/>
          <w:lang w:val="sr-Cyrl-RS"/>
        </w:rPr>
        <w:t>динара;</w:t>
      </w:r>
    </w:p>
    <w:p w14:paraId="05A0E3E3"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103</w:t>
      </w:r>
      <w:r>
        <w:rPr>
          <w:rFonts w:ascii="Times New Roman" w:hAnsi="Times New Roman"/>
          <w:sz w:val="24"/>
          <w:szCs w:val="24"/>
          <w:lang w:val="sr-Cyrl-RS"/>
        </w:rPr>
        <w:t xml:space="preserve">, површине </w:t>
      </w:r>
      <w:r>
        <w:rPr>
          <w:rFonts w:ascii="Times New Roman" w:hAnsi="Times New Roman"/>
          <w:sz w:val="24"/>
          <w:szCs w:val="24"/>
        </w:rPr>
        <w:t>928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3.271.200</w:t>
      </w:r>
      <w:r>
        <w:rPr>
          <w:rFonts w:ascii="Times New Roman" w:hAnsi="Times New Roman"/>
          <w:sz w:val="24"/>
          <w:szCs w:val="24"/>
          <w:lang w:val="sr-Cyrl-RS"/>
        </w:rPr>
        <w:t>,00динара;</w:t>
      </w:r>
    </w:p>
    <w:p w14:paraId="085339F5"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104</w:t>
      </w:r>
      <w:r>
        <w:rPr>
          <w:rFonts w:ascii="Times New Roman" w:hAnsi="Times New Roman"/>
          <w:sz w:val="24"/>
          <w:szCs w:val="24"/>
          <w:lang w:val="sr-Cyrl-RS"/>
        </w:rPr>
        <w:t xml:space="preserve">, површине </w:t>
      </w:r>
      <w:r>
        <w:rPr>
          <w:rFonts w:ascii="Times New Roman" w:hAnsi="Times New Roman"/>
          <w:sz w:val="24"/>
          <w:szCs w:val="24"/>
        </w:rPr>
        <w:t>874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3.080.850,00</w:t>
      </w:r>
      <w:r>
        <w:rPr>
          <w:rFonts w:ascii="Times New Roman" w:hAnsi="Times New Roman"/>
          <w:sz w:val="24"/>
          <w:szCs w:val="24"/>
          <w:lang w:val="sr-Cyrl-RS"/>
        </w:rPr>
        <w:t>динара;</w:t>
      </w:r>
    </w:p>
    <w:p w14:paraId="7BE33235" w14:textId="77777777" w:rsidR="00530118" w:rsidRDefault="00530118" w:rsidP="00530118">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115</w:t>
      </w:r>
      <w:r>
        <w:rPr>
          <w:rFonts w:ascii="Times New Roman" w:hAnsi="Times New Roman"/>
          <w:sz w:val="24"/>
          <w:szCs w:val="24"/>
          <w:lang w:val="sr-Cyrl-RS"/>
        </w:rPr>
        <w:t xml:space="preserve">, површине </w:t>
      </w:r>
      <w:r>
        <w:rPr>
          <w:rFonts w:ascii="Times New Roman" w:hAnsi="Times New Roman"/>
          <w:sz w:val="24"/>
          <w:szCs w:val="24"/>
        </w:rPr>
        <w:t>1158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4.081.950,00</w:t>
      </w:r>
      <w:r>
        <w:rPr>
          <w:rFonts w:ascii="Times New Roman" w:hAnsi="Times New Roman"/>
          <w:sz w:val="24"/>
          <w:szCs w:val="24"/>
          <w:lang w:val="sr-Cyrl-RS"/>
        </w:rPr>
        <w:t>динара</w:t>
      </w:r>
      <w:r>
        <w:rPr>
          <w:rFonts w:ascii="Times New Roman" w:hAnsi="Times New Roman"/>
          <w:sz w:val="24"/>
          <w:szCs w:val="24"/>
        </w:rPr>
        <w:t>.</w:t>
      </w:r>
    </w:p>
    <w:p w14:paraId="6957D1EF" w14:textId="77777777" w:rsidR="003B5CDE" w:rsidRDefault="003B5CDE" w:rsidP="003B5CDE">
      <w:pPr>
        <w:spacing w:after="0" w:line="240" w:lineRule="auto"/>
        <w:ind w:firstLine="540"/>
        <w:jc w:val="both"/>
        <w:rPr>
          <w:rFonts w:ascii="Times New Roman" w:hAnsi="Times New Roman"/>
          <w:sz w:val="24"/>
          <w:szCs w:val="24"/>
          <w:lang w:val="sr-Cyrl-RS"/>
        </w:rPr>
      </w:pPr>
    </w:p>
    <w:p w14:paraId="691D9C88" w14:textId="77777777" w:rsidR="003B5CDE" w:rsidRDefault="003B5CDE" w:rsidP="003B5CDE">
      <w:pPr>
        <w:spacing w:after="0" w:line="240" w:lineRule="auto"/>
        <w:ind w:firstLine="540"/>
        <w:jc w:val="both"/>
        <w:rPr>
          <w:rFonts w:ascii="Times New Roman" w:hAnsi="Times New Roman"/>
          <w:sz w:val="24"/>
          <w:szCs w:val="24"/>
          <w:lang w:val="sr-Cyrl-RS"/>
        </w:rPr>
      </w:pPr>
    </w:p>
    <w:p w14:paraId="300AFE06" w14:textId="77777777" w:rsidR="003B5CDE" w:rsidRDefault="003B5CDE" w:rsidP="003B5CD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20E2A440"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hyperlink r:id="rId5" w:history="1">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pecinci</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hyperlink>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530118">
        <w:rPr>
          <w:rFonts w:ascii="Times New Roman" w:hAnsi="Times New Roman"/>
          <w:b/>
          <w:sz w:val="24"/>
          <w:szCs w:val="24"/>
        </w:rPr>
        <w:t>0</w:t>
      </w:r>
      <w:r w:rsidR="00C226EB">
        <w:rPr>
          <w:rFonts w:ascii="Times New Roman" w:hAnsi="Times New Roman"/>
          <w:b/>
          <w:sz w:val="24"/>
          <w:szCs w:val="24"/>
        </w:rPr>
        <w:t>3</w:t>
      </w:r>
      <w:r w:rsidR="006449A8">
        <w:rPr>
          <w:rFonts w:ascii="Times New Roman" w:hAnsi="Times New Roman"/>
          <w:b/>
          <w:sz w:val="24"/>
          <w:szCs w:val="24"/>
          <w:lang w:val="sr-Cyrl-RS"/>
        </w:rPr>
        <w:t>.</w:t>
      </w:r>
      <w:r w:rsidR="00530118">
        <w:rPr>
          <w:rFonts w:ascii="Times New Roman" w:hAnsi="Times New Roman"/>
          <w:b/>
          <w:sz w:val="24"/>
          <w:szCs w:val="24"/>
        </w:rPr>
        <w:t>07</w:t>
      </w:r>
      <w:r w:rsidR="00D43548">
        <w:rPr>
          <w:rFonts w:ascii="Times New Roman" w:hAnsi="Times New Roman"/>
          <w:b/>
          <w:sz w:val="24"/>
          <w:szCs w:val="24"/>
        </w:rPr>
        <w:t>.2026.</w:t>
      </w:r>
      <w:r>
        <w:rPr>
          <w:rFonts w:ascii="Times New Roman" w:hAnsi="Times New Roman"/>
          <w:b/>
          <w:sz w:val="24"/>
          <w:szCs w:val="24"/>
          <w:lang w:val="sr-Cyrl-CS"/>
        </w:rPr>
        <w:t xml:space="preserve">године у </w:t>
      </w:r>
      <w:r w:rsidR="00530118">
        <w:rPr>
          <w:rFonts w:ascii="Times New Roman" w:hAnsi="Times New Roman"/>
          <w:b/>
          <w:sz w:val="24"/>
          <w:szCs w:val="24"/>
        </w:rPr>
        <w:t>09</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lastRenderedPageBreak/>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4DDC0003" w14:textId="75F221D1" w:rsidR="00EE62F1" w:rsidRPr="00C226EB" w:rsidRDefault="00EE62F1" w:rsidP="00C226EB">
      <w:pPr>
        <w:tabs>
          <w:tab w:val="left" w:pos="90"/>
        </w:tabs>
        <w:spacing w:after="0" w:line="240" w:lineRule="auto"/>
        <w:ind w:firstLine="540"/>
        <w:jc w:val="both"/>
        <w:rPr>
          <w:rFonts w:ascii="Times New Roman" w:hAnsi="Times New Roman"/>
          <w:b/>
          <w:sz w:val="24"/>
          <w:szCs w:val="24"/>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w:t>
      </w:r>
      <w:r w:rsidR="00530118">
        <w:rPr>
          <w:rFonts w:ascii="Times New Roman" w:hAnsi="Times New Roman"/>
          <w:b/>
          <w:sz w:val="24"/>
          <w:szCs w:val="24"/>
        </w:rPr>
        <w:t>0</w:t>
      </w:r>
      <w:r w:rsidR="00C226EB">
        <w:rPr>
          <w:rFonts w:ascii="Times New Roman" w:hAnsi="Times New Roman"/>
          <w:b/>
          <w:sz w:val="24"/>
          <w:szCs w:val="24"/>
        </w:rPr>
        <w:t>3</w:t>
      </w:r>
      <w:r w:rsidR="00530118">
        <w:rPr>
          <w:rFonts w:ascii="Times New Roman" w:hAnsi="Times New Roman"/>
          <w:b/>
          <w:sz w:val="24"/>
          <w:szCs w:val="24"/>
        </w:rPr>
        <w:t>.07</w:t>
      </w:r>
      <w:r w:rsidR="00D43548">
        <w:rPr>
          <w:rFonts w:ascii="Times New Roman" w:hAnsi="Times New Roman"/>
          <w:b/>
          <w:sz w:val="24"/>
          <w:szCs w:val="24"/>
        </w:rPr>
        <w:t>.2026.</w:t>
      </w:r>
      <w:r>
        <w:rPr>
          <w:rFonts w:ascii="Times New Roman" w:hAnsi="Times New Roman"/>
          <w:sz w:val="24"/>
          <w:szCs w:val="24"/>
          <w:lang w:val="sr-Cyrl-CS"/>
        </w:rPr>
        <w:t xml:space="preserve">године </w:t>
      </w:r>
      <w:bookmarkStart w:id="0" w:name="_Hlk198203629"/>
      <w:r>
        <w:rPr>
          <w:rFonts w:ascii="Times New Roman" w:hAnsi="Times New Roman"/>
          <w:sz w:val="24"/>
          <w:szCs w:val="24"/>
          <w:lang w:val="sr-Cyrl-CS"/>
        </w:rPr>
        <w:t xml:space="preserve">у </w:t>
      </w:r>
      <w:r w:rsidR="00530118">
        <w:rPr>
          <w:rFonts w:ascii="Times New Roman" w:hAnsi="Times New Roman"/>
          <w:b/>
          <w:bCs/>
          <w:sz w:val="24"/>
          <w:szCs w:val="24"/>
        </w:rPr>
        <w:t>1</w:t>
      </w:r>
      <w:r w:rsidR="00AA45C7">
        <w:rPr>
          <w:rFonts w:ascii="Times New Roman" w:hAnsi="Times New Roman"/>
          <w:b/>
          <w:bCs/>
          <w:sz w:val="24"/>
          <w:szCs w:val="24"/>
        </w:rPr>
        <w:t>3</w:t>
      </w:r>
      <w:r>
        <w:rPr>
          <w:rFonts w:ascii="Times New Roman" w:hAnsi="Times New Roman"/>
          <w:b/>
          <w:bCs/>
          <w:sz w:val="24"/>
          <w:szCs w:val="24"/>
          <w:lang w:val="sr-Cyrl-CS"/>
        </w:rPr>
        <w:t xml:space="preserve">:00 </w:t>
      </w:r>
      <w:r>
        <w:rPr>
          <w:rFonts w:ascii="Times New Roman" w:hAnsi="Times New Roman"/>
          <w:sz w:val="24"/>
          <w:szCs w:val="24"/>
          <w:lang w:val="sr-Cyrl-CS"/>
        </w:rPr>
        <w:t>часова</w:t>
      </w:r>
      <w:bookmarkEnd w:id="0"/>
      <w:r w:rsidR="000E3B13">
        <w:rPr>
          <w:rFonts w:ascii="Times New Roman" w:hAnsi="Times New Roman"/>
          <w:sz w:val="24"/>
          <w:szCs w:val="24"/>
          <w:lang w:val="sr-Cyrl-CS"/>
        </w:rPr>
        <w:t>.</w:t>
      </w:r>
    </w:p>
    <w:p w14:paraId="77365EDD" w14:textId="300BF15C" w:rsidR="00CA783A" w:rsidRDefault="00CA783A" w:rsidP="00CA783A">
      <w:pPr>
        <w:tabs>
          <w:tab w:val="left" w:pos="90"/>
        </w:tabs>
        <w:spacing w:after="0" w:line="240" w:lineRule="auto"/>
        <w:ind w:firstLine="540"/>
        <w:jc w:val="both"/>
        <w:rPr>
          <w:rFonts w:ascii="Times New Roman" w:hAnsi="Times New Roman"/>
          <w:sz w:val="24"/>
          <w:szCs w:val="24"/>
          <w:lang w:val="sr-Cyrl-CS"/>
        </w:rPr>
      </w:pP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6F46FDF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927791">
        <w:rPr>
          <w:rFonts w:ascii="Times New Roman" w:hAnsi="Times New Roman"/>
          <w:sz w:val="24"/>
          <w:szCs w:val="24"/>
          <w:lang w:val="sr-Cyrl-CS"/>
        </w:rPr>
        <w:t>49</w:t>
      </w:r>
      <w:r>
        <w:rPr>
          <w:rFonts w:ascii="Times New Roman" w:hAnsi="Times New Roman"/>
          <w:sz w:val="24"/>
          <w:szCs w:val="24"/>
          <w:lang w:val="sr-Cyrl-CS"/>
        </w:rPr>
        <w:t xml:space="preserve"> или путем мејла на </w:t>
      </w:r>
      <w:r>
        <w:rPr>
          <w:rFonts w:ascii="Times New Roman" w:hAnsi="Times New Roman"/>
          <w:sz w:val="24"/>
          <w:szCs w:val="24"/>
        </w:rPr>
        <w:t>direkcija</w:t>
      </w:r>
      <w:r>
        <w:rPr>
          <w:rFonts w:ascii="Times New Roman" w:hAnsi="Times New Roman"/>
          <w:sz w:val="24"/>
          <w:szCs w:val="24"/>
          <w:lang w:val="ru-RU"/>
        </w:rPr>
        <w:t>@</w:t>
      </w:r>
      <w:r>
        <w:rPr>
          <w:rFonts w:ascii="Times New Roman" w:hAnsi="Times New Roman"/>
          <w:sz w:val="24"/>
          <w:szCs w:val="24"/>
        </w:rPr>
        <w:t>pecinci</w:t>
      </w:r>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06E6E"/>
    <w:rsid w:val="00030ACA"/>
    <w:rsid w:val="00055407"/>
    <w:rsid w:val="000710AA"/>
    <w:rsid w:val="000D1D1C"/>
    <w:rsid w:val="000E3B13"/>
    <w:rsid w:val="001A37FE"/>
    <w:rsid w:val="001C5661"/>
    <w:rsid w:val="002639B5"/>
    <w:rsid w:val="00346570"/>
    <w:rsid w:val="003B5CDE"/>
    <w:rsid w:val="00456CFD"/>
    <w:rsid w:val="004A50D5"/>
    <w:rsid w:val="004A7A47"/>
    <w:rsid w:val="004E3607"/>
    <w:rsid w:val="00530118"/>
    <w:rsid w:val="00600828"/>
    <w:rsid w:val="006047D1"/>
    <w:rsid w:val="006071A7"/>
    <w:rsid w:val="006449A8"/>
    <w:rsid w:val="0067524E"/>
    <w:rsid w:val="006B2CD8"/>
    <w:rsid w:val="00796BA3"/>
    <w:rsid w:val="007D2E1B"/>
    <w:rsid w:val="007F138E"/>
    <w:rsid w:val="00830CAE"/>
    <w:rsid w:val="00927791"/>
    <w:rsid w:val="00933E63"/>
    <w:rsid w:val="009D60AD"/>
    <w:rsid w:val="00A25FA1"/>
    <w:rsid w:val="00AA45C7"/>
    <w:rsid w:val="00AB4793"/>
    <w:rsid w:val="00AE4460"/>
    <w:rsid w:val="00B03F14"/>
    <w:rsid w:val="00B062C7"/>
    <w:rsid w:val="00B7231E"/>
    <w:rsid w:val="00B746C0"/>
    <w:rsid w:val="00BA483F"/>
    <w:rsid w:val="00BC1C7C"/>
    <w:rsid w:val="00BE15D5"/>
    <w:rsid w:val="00BE40D8"/>
    <w:rsid w:val="00C05C87"/>
    <w:rsid w:val="00C226EB"/>
    <w:rsid w:val="00C25DBC"/>
    <w:rsid w:val="00C314C5"/>
    <w:rsid w:val="00C4278A"/>
    <w:rsid w:val="00C4534A"/>
    <w:rsid w:val="00C65AF0"/>
    <w:rsid w:val="00C87AD8"/>
    <w:rsid w:val="00C97B77"/>
    <w:rsid w:val="00CA783A"/>
    <w:rsid w:val="00D300D6"/>
    <w:rsid w:val="00D43548"/>
    <w:rsid w:val="00DF51B5"/>
    <w:rsid w:val="00E85F10"/>
    <w:rsid w:val="00EA1765"/>
    <w:rsid w:val="00EE62F1"/>
    <w:rsid w:val="00F414F2"/>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0850">
      <w:bodyDiv w:val="1"/>
      <w:marLeft w:val="0"/>
      <w:marRight w:val="0"/>
      <w:marTop w:val="0"/>
      <w:marBottom w:val="0"/>
      <w:divBdr>
        <w:top w:val="none" w:sz="0" w:space="0" w:color="auto"/>
        <w:left w:val="none" w:sz="0" w:space="0" w:color="auto"/>
        <w:bottom w:val="none" w:sz="0" w:space="0" w:color="auto"/>
        <w:right w:val="none" w:sz="0" w:space="0" w:color="auto"/>
      </w:divBdr>
    </w:div>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cinc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2996</Words>
  <Characters>17079</Characters>
  <Application>Microsoft Office Word</Application>
  <DocSecurity>0</DocSecurity>
  <Lines>142</Lines>
  <Paragraphs>40</Paragraphs>
  <ScaleCrop>false</ScaleCrop>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parking.servis1@outlook.com</cp:lastModifiedBy>
  <cp:revision>32</cp:revision>
  <dcterms:created xsi:type="dcterms:W3CDTF">2025-06-24T05:56:00Z</dcterms:created>
  <dcterms:modified xsi:type="dcterms:W3CDTF">2026-05-29T12:46:00Z</dcterms:modified>
</cp:coreProperties>
</file>