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7D748748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5F54F8">
        <w:rPr>
          <w:rFonts w:ascii="Times New Roman" w:hAnsi="Times New Roman"/>
          <w:b/>
          <w:sz w:val="24"/>
          <w:szCs w:val="24"/>
          <w:lang w:val="sr-Cyrl-RS"/>
        </w:rPr>
        <w:t>15.04</w:t>
      </w:r>
      <w:r w:rsidR="007737D5">
        <w:rPr>
          <w:rFonts w:ascii="Times New Roman" w:hAnsi="Times New Roman"/>
          <w:b/>
          <w:sz w:val="24"/>
          <w:szCs w:val="24"/>
          <w:lang w:val="sr-Cyrl-RS"/>
        </w:rPr>
        <w:t>.2022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45A560A9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F728EC">
        <w:rPr>
          <w:rFonts w:ascii="Times New Roman" w:hAnsi="Times New Roman"/>
          <w:b/>
          <w:sz w:val="24"/>
          <w:szCs w:val="24"/>
        </w:rPr>
        <w:t>590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4FA34C77" w:rsidR="00B726E5" w:rsidRPr="00214E25" w:rsidRDefault="005F54F8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ЧЕТВРТИ </w:t>
      </w:r>
      <w:r w:rsidR="007737D5">
        <w:rPr>
          <w:rFonts w:ascii="Times New Roman" w:hAnsi="Times New Roman"/>
          <w:b/>
          <w:sz w:val="24"/>
          <w:szCs w:val="24"/>
          <w:lang w:val="sr-Cyrl-CS"/>
        </w:rPr>
        <w:t xml:space="preserve">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31D34881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F6557D">
        <w:rPr>
          <w:rFonts w:ascii="Times New Roman" w:hAnsi="Times New Roman"/>
          <w:b/>
          <w:sz w:val="24"/>
          <w:szCs w:val="24"/>
          <w:lang w:val="sr-Cyrl-CS"/>
        </w:rPr>
        <w:t>Шимановци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7781C09C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F6557D">
        <w:rPr>
          <w:rFonts w:ascii="Times New Roman" w:hAnsi="Times New Roman"/>
          <w:sz w:val="24"/>
          <w:szCs w:val="24"/>
          <w:lang w:val="ru-RU"/>
        </w:rPr>
        <w:t>2035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F6557D">
        <w:rPr>
          <w:rFonts w:ascii="Times New Roman" w:hAnsi="Times New Roman"/>
          <w:sz w:val="24"/>
          <w:szCs w:val="24"/>
          <w:lang w:val="sr-Cyrl-CS"/>
        </w:rPr>
        <w:t>Шимановци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1589769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F728EC">
        <w:rPr>
          <w:rFonts w:ascii="Times New Roman" w:hAnsi="Times New Roman"/>
          <w:b/>
          <w:sz w:val="24"/>
          <w:szCs w:val="24"/>
        </w:rPr>
        <w:t>556/3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F6557D">
        <w:rPr>
          <w:rFonts w:ascii="Times New Roman" w:hAnsi="Times New Roman"/>
          <w:b/>
          <w:sz w:val="24"/>
          <w:szCs w:val="24"/>
          <w:lang w:val="sr-Cyrl-CS"/>
        </w:rPr>
        <w:t>земљиште у грађевинском подручју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F6557D">
        <w:rPr>
          <w:rFonts w:ascii="Times New Roman" w:hAnsi="Times New Roman"/>
          <w:b/>
          <w:sz w:val="24"/>
          <w:szCs w:val="24"/>
          <w:lang w:val="sr-Cyrl-RS"/>
        </w:rPr>
        <w:t>пашњак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F728EC">
        <w:rPr>
          <w:rFonts w:ascii="Times New Roman" w:hAnsi="Times New Roman"/>
          <w:b/>
          <w:sz w:val="24"/>
          <w:szCs w:val="24"/>
        </w:rPr>
        <w:t>8.381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14DBA34B" w14:textId="358656B6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3A1E69" w14:textId="15CAE50C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Плански документ</w:t>
      </w:r>
    </w:p>
    <w:p w14:paraId="61AD8559" w14:textId="77777777" w:rsidR="00F728EC" w:rsidRPr="00F728EC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</w:p>
    <w:p w14:paraId="58E1940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Информација о локацији издаје се на основу Плана генералне регулације насеља Шимановци („Сл. лист општина Срема“, бр. 31/15, 1/18 и 28/20).</w:t>
      </w:r>
    </w:p>
    <w:p w14:paraId="60F9A61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464B0DE" w14:textId="38D55851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Целине и зоне</w:t>
      </w:r>
    </w:p>
    <w:p w14:paraId="05E2148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D3B789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Предметна катастарска парцела број 556/3 К.О.Шимановци налази се у грађевинском подручју насеља Шимановци блок Б-4-5, у радној зони.</w:t>
      </w:r>
    </w:p>
    <w:p w14:paraId="7D8EB72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7158C77" w14:textId="4DE62953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Намена земљишта</w:t>
      </w:r>
    </w:p>
    <w:p w14:paraId="40BA92B6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09B360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Радна зона</w:t>
      </w:r>
    </w:p>
    <w:p w14:paraId="6D7438D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 парцелама радне зоне могућа је изградња објеката привреде већих капацитета и то: </w:t>
      </w:r>
    </w:p>
    <w:p w14:paraId="1EB5F7A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изградња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производних комплекса секундарних и терцијерних делатности где су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сви објекти производни у функцији технолошког поступка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који се одвија на парцели (помоћни објекти и отворени простори су у функцији производних објеката). Целокупна делатност мора да се одвија на властитој парцели; </w:t>
      </w:r>
    </w:p>
    <w:p w14:paraId="45E9E62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У овим зонама могуће је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да се формирају и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парцеле специфичних намена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из области услуга, </w:t>
      </w:r>
      <w:r w:rsidRPr="00F728EC">
        <w:rPr>
          <w:rFonts w:ascii="Times New Roman" w:hAnsi="Times New Roman"/>
          <w:iCs/>
          <w:color w:val="000000" w:themeColor="text1"/>
          <w:lang w:val="sr-Cyrl-RS"/>
        </w:rPr>
        <w:t>нпр</w:t>
      </w:r>
      <w:r w:rsidRPr="00F728EC">
        <w:rPr>
          <w:rFonts w:ascii="Times New Roman" w:hAnsi="Times New Roman"/>
          <w:i/>
          <w:iCs/>
          <w:color w:val="000000" w:themeColor="text1"/>
          <w:lang w:val="sr-Cyrl-RS"/>
        </w:rPr>
        <w:t xml:space="preserve">. </w:t>
      </w:r>
      <w:r w:rsidRPr="00F728EC">
        <w:rPr>
          <w:rFonts w:ascii="Times New Roman" w:hAnsi="Times New Roman"/>
          <w:color w:val="000000" w:themeColor="text1"/>
          <w:lang w:val="sr-Cyrl-RS"/>
        </w:rPr>
        <w:t>неких нетипичних делатности, мале привреде, бензинских станица, или за изградњу хотелских капацитета, пре свега пословних хотела са потребним врстама просторија прописаним за одређене категорије хотела.</w:t>
      </w:r>
    </w:p>
    <w:p w14:paraId="393054D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 У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радним зонама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лоцираће се објекти за делатности које захтевају веће просторе и које негативно утичу на околину: привредни, складишни, услужни и слични објекти.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</w:t>
      </w:r>
      <w:r w:rsidRPr="00F728EC">
        <w:rPr>
          <w:rFonts w:ascii="Times New Roman" w:hAnsi="Times New Roman"/>
          <w:color w:val="000000" w:themeColor="text1"/>
          <w:lang w:val="sr-Cyrl-RS"/>
        </w:rPr>
        <w:lastRenderedPageBreak/>
        <w:t xml:space="preserve">регулације предвиђено да се део парцеле ангажује за јавно земљиште. У неким деловима радне зоне могу се реализовати и урбанистичким пројектима урбанистичко -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ширине. </w:t>
      </w:r>
    </w:p>
    <w:p w14:paraId="0E34A08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 основу Плана генералне регулације код постојећих комплекса могућа је изградња, доградња и реконструкција у функцији основне намене и то као завршетак започетих целина. </w:t>
      </w:r>
    </w:p>
    <w:p w14:paraId="13FFAA7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23AA8D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Код промене намене постојећих комплекса (технолошког процеса) обавезна је израда урбанистичког пројекта.</w:t>
      </w:r>
    </w:p>
    <w:p w14:paraId="2F6CEAC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0776229" w14:textId="0F2F2416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Услови парцелације и препарцелације</w:t>
      </w:r>
    </w:p>
    <w:p w14:paraId="7EFD632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9D1F27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Услови за формирање грађевинске парцеле у радној зони</w:t>
      </w:r>
    </w:p>
    <w:p w14:paraId="664E904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Нajмaњa пoвршинa грaђeвинскe пaрцeлe je 3000m², минимална ширина 30,0m, за веће парцеле нajмaњa ширина уличног фронта износи 50,0m.</w:t>
      </w:r>
    </w:p>
    <w:p w14:paraId="6F01A23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CBA3C68" w14:textId="19D0C362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Правила грађења</w:t>
      </w:r>
    </w:p>
    <w:p w14:paraId="7FAC1C7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8CC4A3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Дозвољена спратност и висина објеката у радној зони </w:t>
      </w:r>
    </w:p>
    <w:p w14:paraId="2048AD5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Највећа спратност објеката пословања, односно администрације је П+5 (приземље + пет спратова). </w:t>
      </w:r>
    </w:p>
    <w:p w14:paraId="1F2F091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Највећа спратност производних и помоћних објеката је П (приземље са галеријом, без подрума), изузетно П+1 (приземље и спрат), односно у складу са потребама технологије.</w:t>
      </w:r>
    </w:p>
    <w:p w14:paraId="6A7CCEC9" w14:textId="77777777" w:rsidR="00F728EC" w:rsidRPr="00F728EC" w:rsidRDefault="00F728EC" w:rsidP="00F728EC">
      <w:pPr>
        <w:pStyle w:val="Default"/>
        <w:rPr>
          <w:rFonts w:ascii="Times New Roman" w:hAnsi="Times New Roman"/>
          <w:i/>
          <w:iCs/>
          <w:color w:val="000000" w:themeColor="text1"/>
          <w:lang w:val="sr-Cyrl-RS"/>
        </w:rPr>
      </w:pPr>
      <w:r w:rsidRPr="00F728EC">
        <w:rPr>
          <w:rFonts w:ascii="Times New Roman" w:hAnsi="Times New Roman"/>
          <w:i/>
          <w:iCs/>
          <w:color w:val="000000" w:themeColor="text1"/>
          <w:lang w:val="sr-Cyrl-RS"/>
        </w:rPr>
        <w:t>Вертикалном регулацијом одређује се и:</w:t>
      </w:r>
    </w:p>
    <w:p w14:paraId="5115D288" w14:textId="77777777" w:rsidR="00F728EC" w:rsidRPr="00F728EC" w:rsidRDefault="00F728EC" w:rsidP="00F728EC">
      <w:pPr>
        <w:pStyle w:val="Default"/>
        <w:rPr>
          <w:rFonts w:ascii="Times New Roman" w:hAnsi="Times New Roman"/>
          <w:iCs/>
          <w:color w:val="000000" w:themeColor="text1"/>
          <w:lang w:val="sr-Cyrl-RS"/>
        </w:rPr>
      </w:pPr>
      <w:r w:rsidRPr="00F728EC">
        <w:rPr>
          <w:rFonts w:ascii="Times New Roman" w:hAnsi="Times New Roman"/>
          <w:iCs/>
          <w:color w:val="000000" w:themeColor="text1"/>
          <w:lang w:val="sr-Cyrl-RS"/>
        </w:rPr>
        <w:t>Кота пода приземља за производне објекте на парцели су најмање 0,20m од коте дворишта односно у зависности од технолошко-техничких захтева производње. Кота пода помоћних објеката износи најмаље 0,20м.</w:t>
      </w:r>
    </w:p>
    <w:p w14:paraId="4D3A7942" w14:textId="77777777" w:rsidR="00F728EC" w:rsidRPr="00F728EC" w:rsidRDefault="00F728EC" w:rsidP="00F728EC">
      <w:pPr>
        <w:pStyle w:val="Default"/>
        <w:rPr>
          <w:rFonts w:ascii="Times New Roman" w:hAnsi="Times New Roman"/>
          <w:iCs/>
          <w:color w:val="000000" w:themeColor="text1"/>
          <w:lang w:val="sr-Cyrl-RS"/>
        </w:rPr>
      </w:pPr>
    </w:p>
    <w:p w14:paraId="574AA84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Максимални дозвољени индекс заузетости и индекс изграђености</w:t>
      </w:r>
    </w:p>
    <w:p w14:paraId="66257FD5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парцеле услужне и терцијарне делатности величине 3000м² и радне комплексе величине до 5hа индекс заузетости износи 75%,</w:t>
      </w:r>
    </w:p>
    <w:p w14:paraId="47A5ED63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радне комплексе површине 5,0-10hа индекс заузетости износи највише 60%,</w:t>
      </w:r>
    </w:p>
    <w:p w14:paraId="4390D518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радне комплексе површине веће од 10hа индекс заузетости износи највише 50%.</w:t>
      </w:r>
    </w:p>
    <w:p w14:paraId="264BC34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39022AF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Услови за изградњу других објеката на истој грађевинској парцели у радним зонама</w:t>
      </w:r>
    </w:p>
    <w:p w14:paraId="0B8F78E1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Дозвољава се изградња другог објекта на парцели пратећих, помоћних, комуналних, инфраструктурних (разне оставе, складишта сировина или готових производа, алата и сл. који заједно са првим објектима представљају једну функционалну целину) уз исти степен заузетости. Дозвољава се изградња стамбеног објекта за смештај домара.</w:t>
      </w:r>
    </w:p>
    <w:p w14:paraId="1A1D196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964005F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Услови паркирања</w:t>
      </w:r>
    </w:p>
    <w:p w14:paraId="3C6F1DB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За сваку грађевинску парцелу у оквиру радне зоне мора се обезбедити колски и пешачки прилаз. Колски прилаз парцели је ширине најмање 4,0m, а најмањи унутрашњи радијус кривине је 7,0m. Пешачки приступ је ширине најмање 1,5m. За </w:t>
      </w:r>
      <w:r w:rsidRPr="00F728EC">
        <w:rPr>
          <w:rFonts w:ascii="Times New Roman" w:hAnsi="Times New Roman"/>
          <w:color w:val="000000" w:themeColor="text1"/>
          <w:lang w:val="sr-Cyrl-RS"/>
        </w:rPr>
        <w:lastRenderedPageBreak/>
        <w:t xml:space="preserve">паркирање возила за сопствене потребе у оквиру грађевинске парцеле мора се обезбедити паркинг простор (за путничко возило најмање 2,5 x 5,0m а за теретно возило најмање 3,0 x 6,0m, односно у зависности од величине возила). </w:t>
      </w:r>
    </w:p>
    <w:p w14:paraId="0DD2FFB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72A814D2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bCs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bCs/>
          <w:color w:val="000000" w:themeColor="text1"/>
          <w:lang w:val="sr-Cyrl-RS"/>
        </w:rPr>
        <w:t>Услови за ограђивање комплекса</w:t>
      </w:r>
    </w:p>
    <w:p w14:paraId="3533AF3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Грађевинске парцеле на којима се налазе индустријски објекти могу се ограђивати зиданом или транспаретном оградом висине до 2,20m. </w:t>
      </w:r>
    </w:p>
    <w:p w14:paraId="1AD6367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6F51AE6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Архитектонски услови</w:t>
      </w:r>
    </w:p>
    <w:p w14:paraId="2415B9F4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Објекти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морају бити пројектовани за конкретне намене, уз примену важећих стандарда, норматива, прописа, у ликовно-естетском изразу примерени средини насеља Шимановци, али и захтевима које поставља савремена архитектура, савремен начин живота, становања и рада. </w:t>
      </w:r>
    </w:p>
    <w:p w14:paraId="708B9BA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Могућа је примена монтажних објеката према фабричкој документацији у оквиру дозвољеног габарита и дозвољене спратности. За објекте већих димензија и сложеније намене обавезно је испитивање носивости тла, а на основу добијених резултата вршиће се статички прорачун, избор конструктивног система и фундирање. Сви објекти морају се прорачунати и конструисати на сеизмичке утицаје од 7° MCS скале. Отварање отвора на фасадама врши се на уличној и фасадама оријентисаним ка властитом дворишту.</w:t>
      </w:r>
    </w:p>
    <w:p w14:paraId="36DF69F4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Производни и пословни објекти </w:t>
      </w:r>
      <w:r w:rsidRPr="00F728EC">
        <w:rPr>
          <w:rFonts w:ascii="Times New Roman" w:hAnsi="Times New Roman"/>
          <w:color w:val="000000" w:themeColor="text1"/>
          <w:lang w:val="sr-Cyrl-RS"/>
        </w:rPr>
        <w:t>се изводе од савремених и квалитетних материјала атестираних, прописане носивости, отпорности и без негативних дејстава. На производним објектима кровни покривач може бити са малим падовима (лим и сл. покривачи) а могућ је и раван кров.</w:t>
      </w:r>
    </w:p>
    <w:p w14:paraId="33F07B1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Помоћни објекти могу бити од скромнијих грађевинских материјала али прописане носивости, функционалности према намени и уз прописани естетски критеријум. Код помоћних објеката отварање на фасадама врши се према властитом дворишту према функционалном склопу. Кровови су двоводни покривени црепом а атмосферске воде се одводе у властито двориште. Сви објекти зависно од намене морају бити опремљени потребним инсталацијама, обавезно: водовод, септичка јама (до опремања насеља јавном канализацијом), електричном енергијом, док је гас и ТК по потреби инвеститора.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реализације.</w:t>
      </w:r>
    </w:p>
    <w:p w14:paraId="2BAF568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0978131" w14:textId="260031A4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Положај објекта на парцели, регулациона и грађевинска линија</w:t>
      </w:r>
    </w:p>
    <w:p w14:paraId="4F43E9D9" w14:textId="77777777" w:rsidR="00F728EC" w:rsidRPr="00F728EC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</w:p>
    <w:p w14:paraId="7B6F1AB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Лоцирање објеката у радним зонама ће зависити од успостављене функционале шеме и технолошког поступка. За сложене намене на парцелама, регулација ће се утврдити кроз израду плана разраде или УПР-а урбанистичко архитектонског решења.</w:t>
      </w:r>
    </w:p>
    <w:p w14:paraId="706212C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Најмања удаљеност предње грађевинске линије је 6,0м од регулационе линије.</w:t>
      </w:r>
    </w:p>
    <w:p w14:paraId="577B7BEB" w14:textId="3079A8A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Бочне грађевинске линије одмичу се за 5,0m од суседних граница парцеле. Грађевинска линија се поставља на удаљености од најмање 8,0m од круне канала.</w:t>
      </w:r>
    </w:p>
    <w:p w14:paraId="3D0A46D5" w14:textId="02867018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E4C3132" w14:textId="4BA7AFCC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Услови прикључења на инфраструктуру</w:t>
      </w:r>
    </w:p>
    <w:p w14:paraId="5C08208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ED3F0C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63C9863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73576C1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   </w:t>
      </w:r>
    </w:p>
    <w:p w14:paraId="7BD9FE2C" w14:textId="3534631B" w:rsidR="00F728EC" w:rsidRPr="00F728EC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lastRenderedPageBreak/>
        <w:t>Инжењерско-геолошки услови</w:t>
      </w:r>
    </w:p>
    <w:p w14:paraId="74F8E62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BA15B7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Шимановци, као и читава општина Пећинци, припадају зони са умереним степеном сеизмичности од 7</w:t>
      </w:r>
      <w:r w:rsidRPr="00F728EC">
        <w:rPr>
          <w:rFonts w:ascii="Times New Roman" w:hAnsi="Times New Roman"/>
          <w:color w:val="000000" w:themeColor="text1"/>
          <w:vertAlign w:val="superscript"/>
          <w:lang w:val="sr-Cyrl-RS"/>
        </w:rPr>
        <w:t>о</w:t>
      </w:r>
      <w:r w:rsidRPr="00F728EC">
        <w:rPr>
          <w:rFonts w:ascii="Times New Roman" w:hAnsi="Times New Roman"/>
          <w:color w:val="000000" w:themeColor="text1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483F28E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A1191CB" w14:textId="6056F14F" w:rsidR="00F728EC" w:rsidRPr="0008535A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 w:rsidRPr="0008535A">
        <w:rPr>
          <w:rFonts w:ascii="Times New Roman" w:hAnsi="Times New Roman"/>
          <w:b/>
          <w:color w:val="000000" w:themeColor="text1"/>
          <w:lang w:val="sr-Cyrl-RS"/>
        </w:rPr>
        <w:t>Даља урбанистичка разрада</w:t>
      </w:r>
    </w:p>
    <w:p w14:paraId="4F12EB17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3D1C31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Локације за које се обавезно ради урбанистички пројекат</w:t>
      </w:r>
    </w:p>
    <w:p w14:paraId="4136659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Урбанистички пројекат ће се израђивати за локације које имају дефинисану регулацију, али којима је услед планиране сложене намене или величине објекта, комплекса и парцеле потребно утврдити посебна правила за уређење и изградњу на парцели: </w:t>
      </w:r>
    </w:p>
    <w:p w14:paraId="5EE3D44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Пројекте са Листе I и II Уредбе о одређивању активности чије обављање утиче на животну средину; </w:t>
      </w:r>
    </w:p>
    <w:p w14:paraId="6552944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објекте на чију сагласност на техничку документацију у погледу мера заштите од пожара даје подручна јединица органа надлежног Министарства; </w:t>
      </w:r>
    </w:p>
    <w:p w14:paraId="2C0E8F3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локације за које је потребна сагласност ЈП „Електромрежа Србије“; </w:t>
      </w:r>
    </w:p>
    <w:p w14:paraId="4599897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зa објекте чија су правила уређења и грађења прописана другим прописима и стандардима (објекти социјалне заштите, објекти образовања и др.); </w:t>
      </w:r>
    </w:p>
    <w:p w14:paraId="2E3AD167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локације за које је неопходна сагласност Завода за заштиту споменика културе Сремска Митровица; </w:t>
      </w:r>
    </w:p>
    <w:p w14:paraId="218020F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- за локације за које је неопходна сагласност Покрајинског завода за заштиту природе.</w:t>
      </w:r>
    </w:p>
    <w:p w14:paraId="4B7DF86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AAE67BF" w14:textId="75649589" w:rsidR="00F728EC" w:rsidRPr="0008535A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Ограничења</w:t>
      </w:r>
    </w:p>
    <w:p w14:paraId="4FCEE14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EA63BC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5A506EA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5AB2C8D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17CF28A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Обавезна израда урбанистичког пројекта условљена је уколико изградња објеката испуњава услове у тачки 10. Даља урбанистичка разрада ове информације о локацији.</w:t>
      </w:r>
    </w:p>
    <w:p w14:paraId="35F3742A" w14:textId="069DD1A7" w:rsidR="00F728EC" w:rsidRPr="00055D5B" w:rsidRDefault="00F728EC" w:rsidP="00F728EC">
      <w:pPr>
        <w:pStyle w:val="Default"/>
        <w:rPr>
          <w:rFonts w:ascii="Times New Roman" w:hAnsi="Times New Roman"/>
          <w:color w:val="000000" w:themeColor="text1"/>
        </w:rPr>
      </w:pPr>
      <w:r w:rsidRPr="00F728EC">
        <w:rPr>
          <w:rFonts w:ascii="Times New Roman" w:hAnsi="Times New Roman"/>
          <w:color w:val="000000" w:themeColor="text1"/>
        </w:rPr>
        <w:t>За све производне, прерађивачке, складишне и друге садржаје који могу негативно утицати на стање животне средине, неопходна је израда Студије о процени утицаја објеката на животну средину.</w:t>
      </w:r>
    </w:p>
    <w:p w14:paraId="57BC464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u w:val="single"/>
          <w:lang w:val="sr-Cyrl-RS"/>
        </w:rPr>
      </w:pPr>
    </w:p>
    <w:p w14:paraId="6CE14A9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u w:val="single"/>
          <w:lang w:val="sr-Cyrl-RS"/>
        </w:rPr>
        <w:t>Напомена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: </w:t>
      </w:r>
    </w:p>
    <w:p w14:paraId="19F673A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Ова информација о локацији није основ за издавање грађевинске дозволе.</w:t>
      </w:r>
    </w:p>
    <w:p w14:paraId="1EC03C9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6908A5F" w14:textId="77777777" w:rsidR="00F6557D" w:rsidRPr="006C1444" w:rsidRDefault="00F6557D" w:rsidP="00F6557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</w:p>
    <w:p w14:paraId="207D048C" w14:textId="77777777" w:rsidR="00E240DE" w:rsidRPr="00214E25" w:rsidRDefault="00E240DE" w:rsidP="00F655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F6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45109D6C" w:rsidR="00B726E5" w:rsidRPr="00214E25" w:rsidRDefault="0038621C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826</w:t>
      </w:r>
      <w:r w:rsidR="00983A12" w:rsidRPr="005252B4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5252B4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6.922.706</w:t>
      </w:r>
      <w:r w:rsidR="007737D5">
        <w:rPr>
          <w:rFonts w:ascii="Times New Roman" w:hAnsi="Times New Roman"/>
          <w:b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6538B539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38621C">
        <w:rPr>
          <w:rFonts w:ascii="Times New Roman" w:hAnsi="Times New Roman"/>
          <w:sz w:val="24"/>
          <w:szCs w:val="24"/>
          <w:lang w:val="sr-Cyrl-RS"/>
        </w:rPr>
        <w:t>шестмилионадеветстотинадвадесетдвехиљадеседамстотин</w:t>
      </w:r>
      <w:r w:rsidR="0095154E">
        <w:rPr>
          <w:rFonts w:ascii="Times New Roman" w:hAnsi="Times New Roman"/>
          <w:sz w:val="24"/>
          <w:szCs w:val="24"/>
          <w:lang w:val="sr-Cyrl-RS"/>
        </w:rPr>
        <w:t>а</w:t>
      </w:r>
      <w:r w:rsidR="0038621C">
        <w:rPr>
          <w:rFonts w:ascii="Times New Roman" w:hAnsi="Times New Roman"/>
          <w:sz w:val="24"/>
          <w:szCs w:val="24"/>
          <w:lang w:val="sr-Cyrl-RS"/>
        </w:rPr>
        <w:t>шестдинара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36478FF4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38621C">
        <w:rPr>
          <w:rFonts w:ascii="Times New Roman" w:hAnsi="Times New Roman"/>
          <w:b/>
          <w:sz w:val="24"/>
          <w:szCs w:val="24"/>
          <w:lang w:val="sr-Cyrl-CS"/>
        </w:rPr>
        <w:t>692.270,60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38621C">
        <w:rPr>
          <w:rFonts w:ascii="Times New Roman" w:hAnsi="Times New Roman"/>
          <w:sz w:val="24"/>
          <w:szCs w:val="24"/>
          <w:lang w:val="sr-Cyrl-CS"/>
        </w:rPr>
        <w:t>шестстотинадеведесетдвехиљадедвестотинеседамдесетдинара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38621C">
        <w:rPr>
          <w:rFonts w:ascii="Times New Roman" w:hAnsi="Times New Roman"/>
          <w:sz w:val="24"/>
          <w:szCs w:val="24"/>
          <w:lang w:val="sr-Cyrl-CS"/>
        </w:rPr>
        <w:t>6</w:t>
      </w:r>
      <w:r w:rsidR="007737D5">
        <w:rPr>
          <w:rFonts w:ascii="Times New Roman" w:hAnsi="Times New Roman"/>
          <w:sz w:val="24"/>
          <w:szCs w:val="24"/>
          <w:lang w:val="sr-Cyrl-CS"/>
        </w:rPr>
        <w:t>0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28313878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A6B4D">
        <w:rPr>
          <w:rFonts w:ascii="Times New Roman" w:hAnsi="Times New Roman"/>
          <w:sz w:val="24"/>
          <w:szCs w:val="24"/>
          <w:lang w:val="ru-RU"/>
        </w:rPr>
        <w:t>Пећиначким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38621C">
        <w:rPr>
          <w:rFonts w:ascii="Times New Roman" w:hAnsi="Times New Roman"/>
          <w:sz w:val="24"/>
          <w:szCs w:val="24"/>
          <w:lang w:val="sr-Cyrl-RS"/>
        </w:rPr>
        <w:t>1</w:t>
      </w:r>
      <w:r w:rsidR="005F54F8">
        <w:rPr>
          <w:rFonts w:ascii="Times New Roman" w:hAnsi="Times New Roman"/>
          <w:sz w:val="24"/>
          <w:szCs w:val="24"/>
          <w:lang w:val="sr-Cyrl-RS"/>
        </w:rPr>
        <w:t>6.05</w:t>
      </w:r>
      <w:r w:rsidR="0038621C">
        <w:rPr>
          <w:rFonts w:ascii="Times New Roman" w:hAnsi="Times New Roman"/>
          <w:sz w:val="24"/>
          <w:szCs w:val="24"/>
          <w:lang w:val="sr-Cyrl-RS"/>
        </w:rPr>
        <w:t>.2022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0C5BAEB5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7737D5">
        <w:rPr>
          <w:rFonts w:ascii="Times New Roman" w:hAnsi="Times New Roman"/>
          <w:b/>
          <w:sz w:val="24"/>
          <w:szCs w:val="24"/>
          <w:lang w:val="sr-Cyrl-CS"/>
        </w:rPr>
        <w:t>17.0</w:t>
      </w:r>
      <w:r w:rsidR="005F54F8">
        <w:rPr>
          <w:rFonts w:ascii="Times New Roman" w:hAnsi="Times New Roman"/>
          <w:b/>
          <w:sz w:val="24"/>
          <w:szCs w:val="24"/>
          <w:lang w:val="sr-Cyrl-CS"/>
        </w:rPr>
        <w:t>5</w:t>
      </w:r>
      <w:bookmarkStart w:id="0" w:name="_GoBack"/>
      <w:bookmarkEnd w:id="0"/>
      <w:r w:rsidR="007737D5">
        <w:rPr>
          <w:rFonts w:ascii="Times New Roman" w:hAnsi="Times New Roman"/>
          <w:b/>
          <w:sz w:val="24"/>
          <w:szCs w:val="24"/>
          <w:lang w:val="sr-Cyrl-CS"/>
        </w:rPr>
        <w:t>.2022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38621C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471D" w14:textId="77777777" w:rsidR="001C52D9" w:rsidRDefault="001C52D9">
      <w:pPr>
        <w:spacing w:after="0" w:line="240" w:lineRule="auto"/>
      </w:pPr>
      <w:r>
        <w:separator/>
      </w:r>
    </w:p>
  </w:endnote>
  <w:endnote w:type="continuationSeparator" w:id="0">
    <w:p w14:paraId="0530027B" w14:textId="77777777" w:rsidR="001C52D9" w:rsidRDefault="001C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54DE584A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5F54F8">
      <w:rPr>
        <w:rFonts w:ascii="Times New Roman" w:hAnsi="Times New Roman"/>
        <w:noProof/>
      </w:rPr>
      <w:t>1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B439" w14:textId="77777777" w:rsidR="001C52D9" w:rsidRDefault="001C52D9">
      <w:pPr>
        <w:spacing w:after="0" w:line="240" w:lineRule="auto"/>
      </w:pPr>
      <w:r>
        <w:separator/>
      </w:r>
    </w:p>
  </w:footnote>
  <w:footnote w:type="continuationSeparator" w:id="0">
    <w:p w14:paraId="74B77150" w14:textId="77777777" w:rsidR="001C52D9" w:rsidRDefault="001C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554E8"/>
    <w:rsid w:val="00055D5B"/>
    <w:rsid w:val="000571D8"/>
    <w:rsid w:val="00061557"/>
    <w:rsid w:val="0008535A"/>
    <w:rsid w:val="00090014"/>
    <w:rsid w:val="000B3ADE"/>
    <w:rsid w:val="000B5425"/>
    <w:rsid w:val="000C7600"/>
    <w:rsid w:val="000E3648"/>
    <w:rsid w:val="001174BC"/>
    <w:rsid w:val="001256BB"/>
    <w:rsid w:val="0014050D"/>
    <w:rsid w:val="00175F35"/>
    <w:rsid w:val="00190D74"/>
    <w:rsid w:val="001B367B"/>
    <w:rsid w:val="001C52D9"/>
    <w:rsid w:val="001D7FC3"/>
    <w:rsid w:val="00214E25"/>
    <w:rsid w:val="00221B84"/>
    <w:rsid w:val="0024010A"/>
    <w:rsid w:val="00265A0A"/>
    <w:rsid w:val="002945E4"/>
    <w:rsid w:val="002B6CFB"/>
    <w:rsid w:val="002C6E1A"/>
    <w:rsid w:val="002E09FF"/>
    <w:rsid w:val="002F6D07"/>
    <w:rsid w:val="00306B56"/>
    <w:rsid w:val="0031530F"/>
    <w:rsid w:val="00322863"/>
    <w:rsid w:val="00336225"/>
    <w:rsid w:val="00340804"/>
    <w:rsid w:val="003536DD"/>
    <w:rsid w:val="00364D50"/>
    <w:rsid w:val="0038621C"/>
    <w:rsid w:val="003B1527"/>
    <w:rsid w:val="003B43D2"/>
    <w:rsid w:val="003F10F5"/>
    <w:rsid w:val="003F28CE"/>
    <w:rsid w:val="00453422"/>
    <w:rsid w:val="00462095"/>
    <w:rsid w:val="004859D6"/>
    <w:rsid w:val="004C44CB"/>
    <w:rsid w:val="004C5763"/>
    <w:rsid w:val="004F0C30"/>
    <w:rsid w:val="005252B4"/>
    <w:rsid w:val="0053119B"/>
    <w:rsid w:val="00594C3B"/>
    <w:rsid w:val="005B4C47"/>
    <w:rsid w:val="005C4292"/>
    <w:rsid w:val="005F54F8"/>
    <w:rsid w:val="0062152B"/>
    <w:rsid w:val="006838A1"/>
    <w:rsid w:val="006858CE"/>
    <w:rsid w:val="006C1444"/>
    <w:rsid w:val="006D6E0B"/>
    <w:rsid w:val="007413BB"/>
    <w:rsid w:val="00742672"/>
    <w:rsid w:val="00746E08"/>
    <w:rsid w:val="007737D5"/>
    <w:rsid w:val="0080141F"/>
    <w:rsid w:val="00834020"/>
    <w:rsid w:val="00896011"/>
    <w:rsid w:val="00896478"/>
    <w:rsid w:val="008C0A0F"/>
    <w:rsid w:val="008C4BDE"/>
    <w:rsid w:val="0095154E"/>
    <w:rsid w:val="00983A12"/>
    <w:rsid w:val="009A5404"/>
    <w:rsid w:val="009A7980"/>
    <w:rsid w:val="009C3BE0"/>
    <w:rsid w:val="009C3CBB"/>
    <w:rsid w:val="009C49D7"/>
    <w:rsid w:val="00A034F7"/>
    <w:rsid w:val="00A31348"/>
    <w:rsid w:val="00A35F7E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66135"/>
    <w:rsid w:val="00B726E5"/>
    <w:rsid w:val="00B90978"/>
    <w:rsid w:val="00BA6B4D"/>
    <w:rsid w:val="00BB3350"/>
    <w:rsid w:val="00BC5181"/>
    <w:rsid w:val="00BD6C37"/>
    <w:rsid w:val="00C13A2C"/>
    <w:rsid w:val="00C514FE"/>
    <w:rsid w:val="00C550BB"/>
    <w:rsid w:val="00C63F9A"/>
    <w:rsid w:val="00C87784"/>
    <w:rsid w:val="00CB2D21"/>
    <w:rsid w:val="00CD6738"/>
    <w:rsid w:val="00D078DD"/>
    <w:rsid w:val="00D75E12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A576B"/>
    <w:rsid w:val="00EB7B80"/>
    <w:rsid w:val="00EC2DA3"/>
    <w:rsid w:val="00F13754"/>
    <w:rsid w:val="00F61D23"/>
    <w:rsid w:val="00F6557D"/>
    <w:rsid w:val="00F728EC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B628-82B3-4458-AFBD-4F037A3E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</cp:revision>
  <cp:lastPrinted>2022-01-13T10:31:00Z</cp:lastPrinted>
  <dcterms:created xsi:type="dcterms:W3CDTF">2022-04-12T11:22:00Z</dcterms:created>
  <dcterms:modified xsi:type="dcterms:W3CDTF">2022-04-12T11:22:00Z</dcterms:modified>
</cp:coreProperties>
</file>