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E34C6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Јавно комунално предузеће 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b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Пећинци</w:t>
      </w:r>
    </w:p>
    <w:p w14:paraId="6A7B5F0D" w14:textId="77777777" w:rsidR="00E240DE" w:rsidRPr="00214E25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Слободана Бајића 5</w:t>
      </w:r>
    </w:p>
    <w:p w14:paraId="19FA6EBC" w14:textId="76301A4D" w:rsidR="00E240DE" w:rsidRPr="0014050D" w:rsidRDefault="00E240DE" w:rsidP="00E240DE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>Пећинц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и</w:t>
      </w:r>
    </w:p>
    <w:p w14:paraId="4E33043B" w14:textId="64307455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Дана: </w:t>
      </w:r>
      <w:r w:rsidR="007737D5">
        <w:rPr>
          <w:rFonts w:ascii="Times New Roman" w:hAnsi="Times New Roman"/>
          <w:b/>
          <w:sz w:val="24"/>
          <w:szCs w:val="24"/>
          <w:lang w:val="sr-Cyrl-RS"/>
        </w:rPr>
        <w:t>14.01.2022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>. године</w:t>
      </w:r>
    </w:p>
    <w:p w14:paraId="15EB9DC4" w14:textId="45A560A9" w:rsidR="00E240DE" w:rsidRPr="0014050D" w:rsidRDefault="00AA71D7" w:rsidP="00B72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F728EC">
        <w:rPr>
          <w:rFonts w:ascii="Times New Roman" w:hAnsi="Times New Roman"/>
          <w:b/>
          <w:sz w:val="24"/>
          <w:szCs w:val="24"/>
        </w:rPr>
        <w:t>590</w:t>
      </w:r>
      <w:r w:rsidR="0014050D">
        <w:rPr>
          <w:rFonts w:ascii="Times New Roman" w:hAnsi="Times New Roman"/>
          <w:b/>
          <w:sz w:val="24"/>
          <w:szCs w:val="24"/>
          <w:lang w:val="sr-Cyrl-CS"/>
        </w:rPr>
        <w:t>/2021</w:t>
      </w:r>
    </w:p>
    <w:p w14:paraId="5CAC9944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0B102CC4" w14:textId="389DBC95" w:rsidR="00E240DE" w:rsidRDefault="00E240DE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На основу члана 99 Закона о планирању и изградњи 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>("Сл. гласник РС", бр. 72/2009, 81/2009 - испр., 64/2010 - одлука УС, 24/2011, 121/2012, 42/2013 - одлука УС, 50/2013 - одлука УС, 98/2013 - одлука УС, 132/2014 и 145/2014, 83/18</w:t>
      </w:r>
      <w:r w:rsidR="0031530F" w:rsidRPr="00214E25">
        <w:rPr>
          <w:rFonts w:ascii="Times New Roman" w:hAnsi="Times New Roman"/>
          <w:sz w:val="24"/>
          <w:szCs w:val="24"/>
          <w:lang w:val="sr-Cyrl-CS"/>
        </w:rPr>
        <w:t>, 31/2019, 37/2019 – др. закон и</w:t>
      </w:r>
      <w:r w:rsidR="009A5404" w:rsidRPr="00214E25">
        <w:rPr>
          <w:rFonts w:ascii="Times New Roman" w:hAnsi="Times New Roman"/>
          <w:sz w:val="24"/>
          <w:szCs w:val="24"/>
          <w:lang w:val="sr-Cyrl-CS"/>
        </w:rPr>
        <w:t xml:space="preserve"> 9/2020)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члана 17 Одлуке о отуђењу и давању у закуп грађевинског земљишта у јавној својини општине Пећинци („Сл. лист општина Срема“, </w:t>
      </w:r>
      <w:r w:rsidRPr="00214E25">
        <w:rPr>
          <w:rFonts w:ascii="Times New Roman" w:hAnsi="Times New Roman"/>
          <w:sz w:val="24"/>
          <w:szCs w:val="24"/>
          <w:lang w:val="sr-Latn-RS"/>
        </w:rPr>
        <w:t>18/18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)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расписује:</w:t>
      </w:r>
    </w:p>
    <w:p w14:paraId="1658806A" w14:textId="77777777" w:rsidR="00214E25" w:rsidRPr="00214E25" w:rsidRDefault="00214E25" w:rsidP="00E240DE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947A911" w14:textId="0315C15A" w:rsidR="00B726E5" w:rsidRPr="00214E25" w:rsidRDefault="007737D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ДРУГИ ПОНОВЉЕНИ </w:t>
      </w:r>
      <w:bookmarkStart w:id="0" w:name="_GoBack"/>
      <w:bookmarkEnd w:id="0"/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ОГЛАС </w:t>
      </w:r>
    </w:p>
    <w:p w14:paraId="5D2DCFE2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за продају путем јавног надметања </w:t>
      </w:r>
    </w:p>
    <w:p w14:paraId="418D01B8" w14:textId="31D34881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ради отуђења </w:t>
      </w:r>
      <w:r w:rsidR="007413BB">
        <w:rPr>
          <w:rFonts w:ascii="Times New Roman" w:hAnsi="Times New Roman"/>
          <w:b/>
          <w:sz w:val="24"/>
          <w:szCs w:val="24"/>
          <w:lang w:val="sr-Cyrl-CS"/>
        </w:rPr>
        <w:t>грађевинског земљишта изван грађевинског подручја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у јавној својини општине Пећинци у КО </w:t>
      </w:r>
      <w:r w:rsidR="00F6557D">
        <w:rPr>
          <w:rFonts w:ascii="Times New Roman" w:hAnsi="Times New Roman"/>
          <w:b/>
          <w:sz w:val="24"/>
          <w:szCs w:val="24"/>
          <w:lang w:val="sr-Cyrl-CS"/>
        </w:rPr>
        <w:t>Шимановци</w:t>
      </w:r>
    </w:p>
    <w:p w14:paraId="5987C9E8" w14:textId="77777777" w:rsidR="00B726E5" w:rsidRPr="00214E25" w:rsidRDefault="00B726E5" w:rsidP="00B726E5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p w14:paraId="4959AFDC" w14:textId="7781C09C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Предмет отуђења је </w:t>
      </w:r>
      <w:r w:rsidR="00C514FE">
        <w:rPr>
          <w:rFonts w:ascii="Times New Roman" w:hAnsi="Times New Roman"/>
          <w:sz w:val="24"/>
          <w:szCs w:val="24"/>
          <w:lang w:val="sr-Cyrl-CS"/>
        </w:rPr>
        <w:t xml:space="preserve">земљиште у грађевинском подручју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у јавној својини општине Пећинци уписано у ЛН </w:t>
      </w:r>
      <w:r w:rsidR="00F6557D">
        <w:rPr>
          <w:rFonts w:ascii="Times New Roman" w:hAnsi="Times New Roman"/>
          <w:sz w:val="24"/>
          <w:szCs w:val="24"/>
          <w:lang w:val="ru-RU"/>
        </w:rPr>
        <w:t>2035</w:t>
      </w:r>
      <w:r w:rsidR="007413B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КО </w:t>
      </w:r>
      <w:r w:rsidR="00F6557D">
        <w:rPr>
          <w:rFonts w:ascii="Times New Roman" w:hAnsi="Times New Roman"/>
          <w:sz w:val="24"/>
          <w:szCs w:val="24"/>
          <w:lang w:val="sr-Cyrl-CS"/>
        </w:rPr>
        <w:t>Шимановци</w:t>
      </w:r>
      <w:r w:rsidRPr="00214E25">
        <w:rPr>
          <w:rFonts w:ascii="Times New Roman" w:hAnsi="Times New Roman"/>
          <w:sz w:val="24"/>
          <w:szCs w:val="24"/>
          <w:lang w:val="sr-Cyrl-CS"/>
        </w:rPr>
        <w:t>, и то:</w:t>
      </w:r>
    </w:p>
    <w:p w14:paraId="10BC57F4" w14:textId="77777777" w:rsidR="00B726E5" w:rsidRPr="00214E25" w:rsidRDefault="00B726E5" w:rsidP="00B726E5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486D4A1" w14:textId="01589769" w:rsidR="00B726E5" w:rsidRPr="00C514FE" w:rsidRDefault="00B726E5" w:rsidP="00B726E5">
      <w:pPr>
        <w:spacing w:after="0" w:line="240" w:lineRule="auto"/>
        <w:ind w:firstLine="27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- к.п </w:t>
      </w:r>
      <w:r w:rsidR="00F728EC">
        <w:rPr>
          <w:rFonts w:ascii="Times New Roman" w:hAnsi="Times New Roman"/>
          <w:b/>
          <w:sz w:val="24"/>
          <w:szCs w:val="24"/>
        </w:rPr>
        <w:t>556/3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F6557D">
        <w:rPr>
          <w:rFonts w:ascii="Times New Roman" w:hAnsi="Times New Roman"/>
          <w:b/>
          <w:sz w:val="24"/>
          <w:szCs w:val="24"/>
          <w:lang w:val="sr-Cyrl-CS"/>
        </w:rPr>
        <w:t>земљиште у грађевинском подручју</w:t>
      </w:r>
      <w:r w:rsidRPr="00214E25">
        <w:rPr>
          <w:rFonts w:ascii="Times New Roman" w:hAnsi="Times New Roman"/>
          <w:b/>
          <w:sz w:val="24"/>
          <w:szCs w:val="24"/>
          <w:lang w:val="sr-Latn-RS"/>
        </w:rPr>
        <w:t xml:space="preserve">, </w:t>
      </w:r>
      <w:r w:rsidR="00F6557D">
        <w:rPr>
          <w:rFonts w:ascii="Times New Roman" w:hAnsi="Times New Roman"/>
          <w:b/>
          <w:sz w:val="24"/>
          <w:szCs w:val="24"/>
          <w:lang w:val="sr-Cyrl-RS"/>
        </w:rPr>
        <w:t>пашњак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7413BB">
        <w:rPr>
          <w:rFonts w:ascii="Times New Roman" w:hAnsi="Times New Roman"/>
          <w:b/>
          <w:sz w:val="24"/>
          <w:szCs w:val="24"/>
          <w:lang w:val="sr-Cyrl-RS"/>
        </w:rPr>
        <w:t>3</w:t>
      </w:r>
      <w:r w:rsidR="0014050D">
        <w:rPr>
          <w:rFonts w:ascii="Times New Roman" w:hAnsi="Times New Roman"/>
          <w:b/>
          <w:sz w:val="24"/>
          <w:szCs w:val="24"/>
          <w:lang w:val="sr-Cyrl-RS"/>
        </w:rPr>
        <w:t>. класе,</w:t>
      </w:r>
      <w:r w:rsidR="00A31348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површине </w:t>
      </w:r>
      <w:r w:rsidR="00F728EC">
        <w:rPr>
          <w:rFonts w:ascii="Times New Roman" w:hAnsi="Times New Roman"/>
          <w:b/>
          <w:sz w:val="24"/>
          <w:szCs w:val="24"/>
        </w:rPr>
        <w:t>8.381</w:t>
      </w:r>
      <w:r w:rsidR="002E09FF" w:rsidRPr="00214E25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lang w:val="sr-Cyrl-RS"/>
        </w:rPr>
        <w:t>м</w:t>
      </w:r>
      <w:r w:rsidRPr="00214E25">
        <w:rPr>
          <w:rFonts w:ascii="Times New Roman" w:hAnsi="Times New Roman"/>
          <w:b/>
          <w:sz w:val="24"/>
          <w:szCs w:val="24"/>
          <w:vertAlign w:val="superscript"/>
          <w:lang w:val="sr-Cyrl-RS"/>
        </w:rPr>
        <w:t>2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у 1/1 делова;</w:t>
      </w:r>
      <w:r w:rsidR="00AA5F4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14:paraId="14DBA34B" w14:textId="358656B6" w:rsidR="00D078DD" w:rsidRPr="00214E25" w:rsidRDefault="00D078DD" w:rsidP="00B726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53A1E69" w14:textId="15CAE50C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Плански документ</w:t>
      </w:r>
    </w:p>
    <w:p w14:paraId="61AD8559" w14:textId="77777777" w:rsidR="00F728EC" w:rsidRPr="00F728EC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</w:p>
    <w:p w14:paraId="58E1940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Информација о локацији издаје се на основу Плана генералне регулације насеља Шимановци („Сл. лист општина Срема“, бр. 31/15, 1/18 и 28/20).</w:t>
      </w:r>
    </w:p>
    <w:p w14:paraId="60F9A61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464B0DE" w14:textId="38D55851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Целине и зоне</w:t>
      </w:r>
    </w:p>
    <w:p w14:paraId="05E2148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D3B789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Предметна катастарска парцела број 556/3 К.О.Шимановци налази се у грађевинском подручју насеља Шимановци блок Б-4-5, у радној зони.</w:t>
      </w:r>
    </w:p>
    <w:p w14:paraId="7D8EB72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7158C77" w14:textId="4DE62953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Намена земљишта</w:t>
      </w:r>
    </w:p>
    <w:p w14:paraId="40BA92B6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09B360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Радна зона</w:t>
      </w:r>
    </w:p>
    <w:p w14:paraId="6D7438D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 парцелама радне зоне могућа је изградња објеката привреде већих капацитета и то: </w:t>
      </w:r>
    </w:p>
    <w:p w14:paraId="1EB5F7A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изградња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производних комплекса секундарних и терцијерних делатности где су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сви објекти производни у функцији технолошког поступка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који се одвија на парцели (помоћни објекти и отворени простори су у функцији производних објеката). Целокупна делатност мора да се одвија на властитој парцели; </w:t>
      </w:r>
    </w:p>
    <w:p w14:paraId="45E9E62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У овим зонама могуће је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да се формирају и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парцеле специфичних намена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из области услуга, </w:t>
      </w:r>
      <w:r w:rsidRPr="00F728EC">
        <w:rPr>
          <w:rFonts w:ascii="Times New Roman" w:hAnsi="Times New Roman"/>
          <w:iCs/>
          <w:color w:val="000000" w:themeColor="text1"/>
          <w:lang w:val="sr-Cyrl-RS"/>
        </w:rPr>
        <w:t>нпр</w:t>
      </w:r>
      <w:r w:rsidRPr="00F728EC">
        <w:rPr>
          <w:rFonts w:ascii="Times New Roman" w:hAnsi="Times New Roman"/>
          <w:i/>
          <w:iCs/>
          <w:color w:val="000000" w:themeColor="text1"/>
          <w:lang w:val="sr-Cyrl-RS"/>
        </w:rPr>
        <w:t xml:space="preserve">. </w:t>
      </w:r>
      <w:r w:rsidRPr="00F728EC">
        <w:rPr>
          <w:rFonts w:ascii="Times New Roman" w:hAnsi="Times New Roman"/>
          <w:color w:val="000000" w:themeColor="text1"/>
          <w:lang w:val="sr-Cyrl-RS"/>
        </w:rPr>
        <w:t>неких нетипичних делатности, мале привреде, бензинских станица, или за изградњу хотелских капацитета, пре свега пословних хотела са потребним врстама просторија прописаним за одређене категорије хотела.</w:t>
      </w:r>
    </w:p>
    <w:p w14:paraId="393054D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 У </w:t>
      </w: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радним зонама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лоцираће се објекти за делатности које захтевају веће просторе и које негативно утичу на околину: привредни, складишни, услужни и слични објекти. Ови комплекси ће се реализовати на основу планова детаљне регулације уколико парцеле предвиђене за изградњу директно не излазе на јавни пут или ако је планом генералне </w:t>
      </w:r>
      <w:r w:rsidRPr="00F728EC">
        <w:rPr>
          <w:rFonts w:ascii="Times New Roman" w:hAnsi="Times New Roman"/>
          <w:color w:val="000000" w:themeColor="text1"/>
          <w:lang w:val="sr-Cyrl-RS"/>
        </w:rPr>
        <w:lastRenderedPageBreak/>
        <w:t xml:space="preserve">регулације предвиђено да се део парцеле ангажује за јавно земљиште. У неким деловима радне зоне могу се реализовати и урбанистичким пројектима урбанистичко - архитектонске разраде уз израду студије процене утицаја на животну средину за потенцијалне загађиваче под условом да парцеле задовољавају све услове предвиђене правилима грађења а првенствено да имају приступ на јавни пут довољне ширине. </w:t>
      </w:r>
    </w:p>
    <w:p w14:paraId="0E34A08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 основу Плана генералне регулације код постојећих комплекса могућа је изградња, доградња и реконструкција у функцији основне намене и то као завршетак започетих целина. </w:t>
      </w:r>
    </w:p>
    <w:p w14:paraId="13FFAA7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23AA8D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Код промене намене постојећих комплекса (технолошког процеса) обавезна је израда урбанистичког пројекта.</w:t>
      </w:r>
    </w:p>
    <w:p w14:paraId="2F6CEAC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0776229" w14:textId="0F2F2416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Услови парцелације и препарцелације</w:t>
      </w:r>
    </w:p>
    <w:p w14:paraId="7EFD632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59D1F27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Услови за формирање грађевинске парцеле у радној зони</w:t>
      </w:r>
    </w:p>
    <w:p w14:paraId="664E904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Нajмaњa пoвршинa грaђeвинскe пaрцeлe je 3000m², минимална ширина 30,0m, за веће парцеле нajмaњa ширина уличног фронта износи 50,0m.</w:t>
      </w:r>
    </w:p>
    <w:p w14:paraId="6F01A23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CBA3C68" w14:textId="19D0C362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Правила грађења</w:t>
      </w:r>
    </w:p>
    <w:p w14:paraId="7FAC1C7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8CC4A3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Дозвољена спратност и висина објеката у радној зони </w:t>
      </w:r>
    </w:p>
    <w:p w14:paraId="2048AD5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Највећа спратност објеката пословања, односно администрације је П+5 (приземље + пет спратова). </w:t>
      </w:r>
    </w:p>
    <w:p w14:paraId="1F2F091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Највећа спратност производних и помоћних објеката је П (приземље са галеријом, без подрума), изузетно П+1 (приземље и спрат), односно у складу са потребама технологије.</w:t>
      </w:r>
    </w:p>
    <w:p w14:paraId="6A7CCEC9" w14:textId="77777777" w:rsidR="00F728EC" w:rsidRPr="00F728EC" w:rsidRDefault="00F728EC" w:rsidP="00F728EC">
      <w:pPr>
        <w:pStyle w:val="Default"/>
        <w:rPr>
          <w:rFonts w:ascii="Times New Roman" w:hAnsi="Times New Roman"/>
          <w:i/>
          <w:iCs/>
          <w:color w:val="000000" w:themeColor="text1"/>
          <w:lang w:val="sr-Cyrl-RS"/>
        </w:rPr>
      </w:pPr>
      <w:r w:rsidRPr="00F728EC">
        <w:rPr>
          <w:rFonts w:ascii="Times New Roman" w:hAnsi="Times New Roman"/>
          <w:i/>
          <w:iCs/>
          <w:color w:val="000000" w:themeColor="text1"/>
          <w:lang w:val="sr-Cyrl-RS"/>
        </w:rPr>
        <w:t>Вертикалном регулацијом одређује се и:</w:t>
      </w:r>
    </w:p>
    <w:p w14:paraId="5115D288" w14:textId="77777777" w:rsidR="00F728EC" w:rsidRPr="00F728EC" w:rsidRDefault="00F728EC" w:rsidP="00F728EC">
      <w:pPr>
        <w:pStyle w:val="Default"/>
        <w:rPr>
          <w:rFonts w:ascii="Times New Roman" w:hAnsi="Times New Roman"/>
          <w:iCs/>
          <w:color w:val="000000" w:themeColor="text1"/>
          <w:lang w:val="sr-Cyrl-RS"/>
        </w:rPr>
      </w:pPr>
      <w:r w:rsidRPr="00F728EC">
        <w:rPr>
          <w:rFonts w:ascii="Times New Roman" w:hAnsi="Times New Roman"/>
          <w:iCs/>
          <w:color w:val="000000" w:themeColor="text1"/>
          <w:lang w:val="sr-Cyrl-RS"/>
        </w:rPr>
        <w:t>Кота пода приземља за производне објекте на парцели су најмање 0,20m од коте дворишта односно у зависности од технолошко-техничких захтева производње. Кота пода помоћних објеката износи најмаље 0,20м.</w:t>
      </w:r>
    </w:p>
    <w:p w14:paraId="4D3A7942" w14:textId="77777777" w:rsidR="00F728EC" w:rsidRPr="00F728EC" w:rsidRDefault="00F728EC" w:rsidP="00F728EC">
      <w:pPr>
        <w:pStyle w:val="Default"/>
        <w:rPr>
          <w:rFonts w:ascii="Times New Roman" w:hAnsi="Times New Roman"/>
          <w:iCs/>
          <w:color w:val="000000" w:themeColor="text1"/>
          <w:lang w:val="sr-Cyrl-RS"/>
        </w:rPr>
      </w:pPr>
    </w:p>
    <w:p w14:paraId="574AA84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Максимални дозвољени индекс заузетости и индекс изграђености</w:t>
      </w:r>
    </w:p>
    <w:p w14:paraId="66257FD5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парцеле услужне и терцијарне делатности величине 3000м² и радне комплексе величине до 5hа индекс заузетости износи 75%,</w:t>
      </w:r>
    </w:p>
    <w:p w14:paraId="47A5ED63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радне комплексе површине 5,0-10hа индекс заузетости износи највише 60%,</w:t>
      </w:r>
    </w:p>
    <w:p w14:paraId="4390D518" w14:textId="77777777" w:rsidR="00F728EC" w:rsidRPr="00F728EC" w:rsidRDefault="00F728EC" w:rsidP="00F728EC">
      <w:pPr>
        <w:pStyle w:val="Default"/>
        <w:numPr>
          <w:ilvl w:val="0"/>
          <w:numId w:val="12"/>
        </w:numPr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за радне комплексе површине веће од 10hа индекс заузетости износи највише 50%.</w:t>
      </w:r>
    </w:p>
    <w:p w14:paraId="264BC34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39022AF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Услови за изградњу других објеката на истој грађевинској парцели у радним зонама</w:t>
      </w:r>
    </w:p>
    <w:p w14:paraId="0B8F78E1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Дозвољава се изградња другог објекта на парцели пратећих, помоћних, комуналних, инфраструктурних (разне оставе, складишта сировина или готових производа, алата и сл. који заједно са првим објектима представљају једну функционалну целину) уз исти степен заузетости. Дозвољава се изградња стамбеног објекта за смештај домара.</w:t>
      </w:r>
    </w:p>
    <w:p w14:paraId="1A1D196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964005F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Услови паркирања</w:t>
      </w:r>
    </w:p>
    <w:p w14:paraId="3C6F1DB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За сваку грађевинску парцелу у оквиру радне зоне мора се обезбедити колски и пешачки прилаз. Колски прилаз парцели је ширине најмање 4,0m, а најмањи унутрашњи радијус кривине је 7,0m. Пешачки приступ је ширине најмање 1,5m. За </w:t>
      </w:r>
      <w:r w:rsidRPr="00F728EC">
        <w:rPr>
          <w:rFonts w:ascii="Times New Roman" w:hAnsi="Times New Roman"/>
          <w:color w:val="000000" w:themeColor="text1"/>
          <w:lang w:val="sr-Cyrl-RS"/>
        </w:rPr>
        <w:lastRenderedPageBreak/>
        <w:t xml:space="preserve">паркирање возила за сопствене потребе у оквиру грађевинске парцеле мора се обезбедити паркинг простор (за путничко возило најмање 2,5 x 5,0m а за теретно возило најмање 3,0 x 6,0m, односно у зависности од величине возила). </w:t>
      </w:r>
    </w:p>
    <w:p w14:paraId="0DD2FFB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72A814D2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bCs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bCs/>
          <w:color w:val="000000" w:themeColor="text1"/>
          <w:lang w:val="sr-Cyrl-RS"/>
        </w:rPr>
        <w:t>Услови за ограђивање комплекса</w:t>
      </w:r>
    </w:p>
    <w:p w14:paraId="3533AF3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Грађевинске парцеле на којима се налазе индустријски објекти могу се ограђивати зиданом или транспаретном оградом висине до 2,20m. </w:t>
      </w:r>
    </w:p>
    <w:p w14:paraId="1AD6367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6F51AE6" w14:textId="77777777" w:rsidR="00F728EC" w:rsidRPr="005C4292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  <w:r w:rsidRPr="005C4292">
        <w:rPr>
          <w:rFonts w:ascii="Times New Roman" w:hAnsi="Times New Roman"/>
          <w:b/>
          <w:color w:val="000000" w:themeColor="text1"/>
          <w:lang w:val="sr-Cyrl-RS"/>
        </w:rPr>
        <w:t>Архитектонски услови</w:t>
      </w:r>
    </w:p>
    <w:p w14:paraId="2415B9F4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Објекти 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морају бити пројектовани за конкретне намене, уз примену важећих стандарда, норматива, прописа, у ликовно-естетском изразу примерени средини насеља Шимановци, али и захтевима које поставља савремена архитектура, савремен начин живота, становања и рада. </w:t>
      </w:r>
    </w:p>
    <w:p w14:paraId="708B9BA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Могућа је примена монтажних објеката према фабричкој документацији у оквиру дозвољеног габарита и дозвољене спратности. За објекте већих димензија и сложеније намене обавезно је испитивање носивости тла, а на основу добијених резултата вршиће се статички прорачун, избор конструктивног система и фундирање. Сви објекти морају се прорачунати и конструисати на сеизмичке утицаје од 7° MCS скале. Отварање отвора на фасадама врши се на уличној и фасадама оријентисаним ка властитом дворишту.</w:t>
      </w:r>
    </w:p>
    <w:p w14:paraId="36DF69F4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bCs/>
          <w:color w:val="000000" w:themeColor="text1"/>
          <w:lang w:val="sr-Cyrl-RS"/>
        </w:rPr>
        <w:t xml:space="preserve">Производни и пословни објекти </w:t>
      </w:r>
      <w:r w:rsidRPr="00F728EC">
        <w:rPr>
          <w:rFonts w:ascii="Times New Roman" w:hAnsi="Times New Roman"/>
          <w:color w:val="000000" w:themeColor="text1"/>
          <w:lang w:val="sr-Cyrl-RS"/>
        </w:rPr>
        <w:t>се изводе од савремених и квалитетних материјала атестираних, прописане носивости, отпорности и без негативних дејстава. На производним објектима кровни покривач може бити са малим падовима (лим и сл. покривачи) а могућ је и раван кров.</w:t>
      </w:r>
    </w:p>
    <w:p w14:paraId="33F07B1A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Помоћни објекти могу бити од скромнијих грађевинских материјала али прописане носивости, функционалности према намени и уз прописани естетски критеријум. Код помоћних објеката отварање на фасадама врши се према властитом дворишту према функционалном склопу. Кровови су двоводни покривени црепом а атмосферске воде се одводе у властито двориште. Сви објекти зависно од намене морају бити опремљени потребним инсталацијама, обавезно: водовод, септичка јама (до опремања насеља јавном канализацијом), електричном енергијом, док је гас и ТК по потреби инвеститора. Могућа је реализација објеката фазно тако да изведена фаза чини функционалнограђевинску целину која може самостално да функционише до потпуне реализације.</w:t>
      </w:r>
    </w:p>
    <w:p w14:paraId="2BAF568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0978131" w14:textId="260031A4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Положај објекта на парцели, регулациона и грађевинска линија</w:t>
      </w:r>
    </w:p>
    <w:p w14:paraId="4F43E9D9" w14:textId="77777777" w:rsidR="00F728EC" w:rsidRPr="00F728EC" w:rsidRDefault="00F728EC" w:rsidP="00F728EC">
      <w:pPr>
        <w:pStyle w:val="Default"/>
        <w:rPr>
          <w:rFonts w:ascii="Times New Roman" w:hAnsi="Times New Roman"/>
          <w:b/>
          <w:color w:val="000000" w:themeColor="text1"/>
          <w:lang w:val="sr-Cyrl-RS"/>
        </w:rPr>
      </w:pPr>
    </w:p>
    <w:p w14:paraId="7B6F1ABF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Лоцирање објеката у радним зонама ће зависити од успостављене функционале шеме и технолошког поступка. За сложене намене на парцелама, регулација ће се утврдити кроз израду плана разраде или УПР-а урбанистичко архитектонског решења.</w:t>
      </w:r>
    </w:p>
    <w:p w14:paraId="706212C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Најмања удаљеност предње грађевинске линије је 6,0м од регулационе линије.</w:t>
      </w:r>
    </w:p>
    <w:p w14:paraId="577B7BEB" w14:textId="3079A8A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Бочне грађевинске линије одмичу се за 5,0m од суседних граница парцеле. Грађевинска линија се поставља на удаљености од најмање 8,0m од круне канала.</w:t>
      </w:r>
    </w:p>
    <w:p w14:paraId="3D0A46D5" w14:textId="02867018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E4C3132" w14:textId="4BA7AFCC" w:rsidR="00F728EC" w:rsidRPr="00F728EC" w:rsidRDefault="00F728EC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Услови прикључења на инфраструктуру</w:t>
      </w:r>
    </w:p>
    <w:p w14:paraId="5C08208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ED3F0C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Услови прикључења ће се дефинисати кроз техничке услове и сагласности имаоца јавних овлашћења.</w:t>
      </w:r>
    </w:p>
    <w:p w14:paraId="63C98638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73576C1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   </w:t>
      </w:r>
    </w:p>
    <w:p w14:paraId="7BD9FE2C" w14:textId="3534631B" w:rsidR="00F728EC" w:rsidRPr="00F728EC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lastRenderedPageBreak/>
        <w:t>Инжењерско-геолошки услови</w:t>
      </w:r>
    </w:p>
    <w:p w14:paraId="74F8E62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0BA15B7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Шимановци, као и читава општина Пећинци, припадају зони са умереним степеном сеизмичности од 7</w:t>
      </w:r>
      <w:r w:rsidRPr="00F728EC">
        <w:rPr>
          <w:rFonts w:ascii="Times New Roman" w:hAnsi="Times New Roman"/>
          <w:color w:val="000000" w:themeColor="text1"/>
          <w:vertAlign w:val="superscript"/>
          <w:lang w:val="sr-Cyrl-RS"/>
        </w:rPr>
        <w:t>о</w:t>
      </w:r>
      <w:r w:rsidRPr="00F728EC">
        <w:rPr>
          <w:rFonts w:ascii="Times New Roman" w:hAnsi="Times New Roman"/>
          <w:color w:val="000000" w:themeColor="text1"/>
          <w:lang w:val="sr-Cyrl-RS"/>
        </w:rPr>
        <w:t>МСЦ, те је потребно све објекте прорачунати на отпорност од поменутог степена сеизмичности.</w:t>
      </w:r>
    </w:p>
    <w:p w14:paraId="483F28E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A1191CB" w14:textId="6056F14F" w:rsidR="00F728EC" w:rsidRPr="0008535A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 w:rsidRPr="0008535A">
        <w:rPr>
          <w:rFonts w:ascii="Times New Roman" w:hAnsi="Times New Roman"/>
          <w:b/>
          <w:color w:val="000000" w:themeColor="text1"/>
          <w:lang w:val="sr-Cyrl-RS"/>
        </w:rPr>
        <w:t>Даља урбанистичка разрада</w:t>
      </w:r>
    </w:p>
    <w:p w14:paraId="4F12EB17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23D1C31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Локације за које се обавезно ради урбанистички пројекат</w:t>
      </w:r>
    </w:p>
    <w:p w14:paraId="41366595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Урбанистички пројекат ће се израђивати за локације које имају дефинисану регулацију, али којима је услед планиране сложене намене или величине објекта, комплекса и парцеле потребно утврдити посебна правила за уређење и изградњу на парцели: </w:t>
      </w:r>
    </w:p>
    <w:p w14:paraId="5EE3D44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Пројекте са Листе I и II Уредбе о одређивању активности чије обављање утиче на животну средину; </w:t>
      </w:r>
    </w:p>
    <w:p w14:paraId="65529442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објекте на чију сагласност на техничку документацију у погледу мера заштите од пожара даје подручна јединица органа надлежног Министарства; </w:t>
      </w:r>
    </w:p>
    <w:p w14:paraId="2C0E8F3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локације за које је потребна сагласност ЈП „Електромрежа Србије“; </w:t>
      </w:r>
    </w:p>
    <w:p w14:paraId="4599897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зa објекте чија су правила уређења и грађења прописана другим прописима и стандардима (објекти социјалне заштите, објекти образовања и др.); </w:t>
      </w:r>
    </w:p>
    <w:p w14:paraId="2E3AD167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- за локације за које је неопходна сагласност Завода за заштиту споменика културе Сремска Митровица; </w:t>
      </w:r>
    </w:p>
    <w:p w14:paraId="218020FB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- за локације за које је неопходна сагласност Покрајинског завода за заштиту природе.</w:t>
      </w:r>
    </w:p>
    <w:p w14:paraId="4B7DF86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3AAE67BF" w14:textId="75649589" w:rsidR="00F728EC" w:rsidRPr="0008535A" w:rsidRDefault="0008535A" w:rsidP="00F728EC">
      <w:pPr>
        <w:pStyle w:val="Default"/>
        <w:numPr>
          <w:ilvl w:val="0"/>
          <w:numId w:val="4"/>
        </w:numPr>
        <w:rPr>
          <w:rFonts w:ascii="Times New Roman" w:hAnsi="Times New Roman"/>
          <w:b/>
          <w:color w:val="000000" w:themeColor="text1"/>
          <w:lang w:val="sr-Cyrl-RS"/>
        </w:rPr>
      </w:pPr>
      <w:r>
        <w:rPr>
          <w:rFonts w:ascii="Times New Roman" w:hAnsi="Times New Roman"/>
          <w:b/>
          <w:color w:val="000000" w:themeColor="text1"/>
          <w:lang w:val="sr-Cyrl-RS"/>
        </w:rPr>
        <w:t>Ограничења</w:t>
      </w:r>
    </w:p>
    <w:p w14:paraId="4FCEE14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4EA63BC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 xml:space="preserve">У радним зонама није дозвољена изградња објеката за депоновање опасног отпада нити било каква друга делатност која у себи садржи опасан отпад. </w:t>
      </w:r>
    </w:p>
    <w:p w14:paraId="5A506EAD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Изградњом новог објекта не сме се на било који начин угрозити суседни објекти на суседним парцелама (у статичком смислу и по питању намена које делују угрожавајуће на постојеће објекте).</w:t>
      </w:r>
    </w:p>
    <w:p w14:paraId="5AB2C8D3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У радним зонама не могу бити заступљене делатности које врше загађење животне средине (тла, ваздуха, воде).</w:t>
      </w:r>
    </w:p>
    <w:p w14:paraId="17CF28A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Обавезна израда урбанистичког пројекта условљена је уколико изградња објеката испуњава услове у тачки 10. Даља урбанистичка разрада ове информације о локацији.</w:t>
      </w:r>
    </w:p>
    <w:p w14:paraId="35F3742A" w14:textId="069DD1A7" w:rsidR="00F728EC" w:rsidRPr="00055D5B" w:rsidRDefault="00F728EC" w:rsidP="00F728EC">
      <w:pPr>
        <w:pStyle w:val="Default"/>
        <w:rPr>
          <w:rFonts w:ascii="Times New Roman" w:hAnsi="Times New Roman"/>
          <w:color w:val="000000" w:themeColor="text1"/>
        </w:rPr>
      </w:pPr>
      <w:r w:rsidRPr="00F728EC">
        <w:rPr>
          <w:rFonts w:ascii="Times New Roman" w:hAnsi="Times New Roman"/>
          <w:color w:val="000000" w:themeColor="text1"/>
        </w:rPr>
        <w:t>За све производне, прерађивачке, складишне и друге садржаје који могу негативно утицати на стање животне средине, неопходна је израда Студије о процени утицаја објеката на животну средину.</w:t>
      </w:r>
    </w:p>
    <w:p w14:paraId="57BC4649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u w:val="single"/>
          <w:lang w:val="sr-Cyrl-RS"/>
        </w:rPr>
      </w:pPr>
    </w:p>
    <w:p w14:paraId="6CE14A90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u w:val="single"/>
          <w:lang w:val="sr-Cyrl-RS"/>
        </w:rPr>
        <w:t>Напомена</w:t>
      </w:r>
      <w:r w:rsidRPr="00F728EC">
        <w:rPr>
          <w:rFonts w:ascii="Times New Roman" w:hAnsi="Times New Roman"/>
          <w:color w:val="000000" w:themeColor="text1"/>
          <w:lang w:val="sr-Cyrl-RS"/>
        </w:rPr>
        <w:t xml:space="preserve">: </w:t>
      </w:r>
    </w:p>
    <w:p w14:paraId="19F673AC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  <w:r w:rsidRPr="00F728EC">
        <w:rPr>
          <w:rFonts w:ascii="Times New Roman" w:hAnsi="Times New Roman"/>
          <w:color w:val="000000" w:themeColor="text1"/>
          <w:lang w:val="sr-Cyrl-RS"/>
        </w:rPr>
        <w:t>Ова информација о локацији није основ за издавање грађевинске дозволе.</w:t>
      </w:r>
    </w:p>
    <w:p w14:paraId="1EC03C9E" w14:textId="77777777" w:rsidR="00F728EC" w:rsidRPr="00F728EC" w:rsidRDefault="00F728EC" w:rsidP="00F728EC">
      <w:pPr>
        <w:pStyle w:val="Default"/>
        <w:rPr>
          <w:rFonts w:ascii="Times New Roman" w:hAnsi="Times New Roman"/>
          <w:color w:val="000000" w:themeColor="text1"/>
          <w:lang w:val="sr-Cyrl-RS"/>
        </w:rPr>
      </w:pPr>
    </w:p>
    <w:p w14:paraId="66908A5F" w14:textId="77777777" w:rsidR="00F6557D" w:rsidRPr="006C1444" w:rsidRDefault="00F6557D" w:rsidP="00F6557D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lang w:val="sr-Cyrl-RS"/>
        </w:rPr>
      </w:pPr>
    </w:p>
    <w:p w14:paraId="207D048C" w14:textId="77777777" w:rsidR="00E240DE" w:rsidRPr="00214E25" w:rsidRDefault="00E240DE" w:rsidP="00F6557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Обавезе купца: да сноси трошкове пројектовања, исходовања одобрења за градњу, изградње и исходовање употребне дозволе за електро-енергетску мрежу у објекте, водовод и канализацију, ТТ мрежу, топлификацију, уређење слободних површина и заштиту животне средине.</w:t>
      </w:r>
    </w:p>
    <w:p w14:paraId="675761BD" w14:textId="77777777" w:rsidR="003F10F5" w:rsidRDefault="003F10F5" w:rsidP="00F6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3D825CA" w14:textId="3917F679" w:rsidR="00E240DE" w:rsidRPr="00214E25" w:rsidRDefault="00E240DE" w:rsidP="003F10F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Општина Пећ</w:t>
      </w:r>
      <w:r w:rsidR="00453422" w:rsidRPr="00214E25">
        <w:rPr>
          <w:rFonts w:ascii="Times New Roman" w:hAnsi="Times New Roman"/>
          <w:sz w:val="24"/>
          <w:szCs w:val="24"/>
          <w:lang w:val="sr-Cyrl-CS"/>
        </w:rPr>
        <w:t>инци и ЈКП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 немају никаквих обавеза према купцу.</w:t>
      </w:r>
    </w:p>
    <w:p w14:paraId="5F1EB613" w14:textId="77777777" w:rsidR="00BB3350" w:rsidRPr="00214E25" w:rsidRDefault="00BB3350" w:rsidP="00B10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262B7C2" w14:textId="52535F2D" w:rsidR="00E240DE" w:rsidRPr="00214E25" w:rsidRDefault="00E240DE" w:rsidP="00B108D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 xml:space="preserve">Допринос за уређивање грађевинског земљишта сноси купац, као инвеститор на начин и у роковима како је то одређено чланом 97 Закона о планирању и изградњи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("Сл. гласник РС", бр. 72/2009, 81/2009 - испр., 64/2010 - одлука УС, 24/2011, 121/2012, 42/2013 - одлука УС, 50/2013 - одлука УС, 98/2013 - одлука УС, 132/2014 и 145/2014, 83/18, 31/2019, 37/2019 </w:t>
      </w:r>
      <w:r w:rsidR="003F10F5">
        <w:rPr>
          <w:rFonts w:ascii="Times New Roman" w:hAnsi="Times New Roman"/>
          <w:sz w:val="24"/>
          <w:szCs w:val="24"/>
          <w:lang w:val="sr-Cyrl-CS"/>
        </w:rPr>
        <w:t>–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F10F5">
        <w:rPr>
          <w:rFonts w:ascii="Times New Roman" w:hAnsi="Times New Roman"/>
          <w:sz w:val="24"/>
          <w:szCs w:val="24"/>
          <w:lang w:val="sr-Cyrl-RS"/>
        </w:rPr>
        <w:t>др. закон и</w:t>
      </w:r>
      <w:r w:rsidR="003F10F5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061557" w:rsidRPr="00214E25">
        <w:rPr>
          <w:rFonts w:ascii="Times New Roman" w:hAnsi="Times New Roman"/>
          <w:sz w:val="24"/>
          <w:szCs w:val="24"/>
          <w:lang w:val="sr-Cyrl-CS"/>
        </w:rPr>
        <w:t xml:space="preserve"> 9/2020)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30307840" w14:textId="77777777" w:rsidR="00E240DE" w:rsidRPr="00214E25" w:rsidRDefault="00E240DE" w:rsidP="00E240D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770583C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Почетна цена за јавно надметање  износи:</w:t>
      </w:r>
    </w:p>
    <w:p w14:paraId="3BF5DD46" w14:textId="63589E0A" w:rsidR="00B726E5" w:rsidRPr="00214E25" w:rsidRDefault="007737D5" w:rsidP="003F10F5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1.534</w:t>
      </w:r>
      <w:r w:rsidR="00983A12" w:rsidRPr="005252B4">
        <w:rPr>
          <w:rFonts w:ascii="Times New Roman" w:hAnsi="Times New Roman"/>
          <w:sz w:val="24"/>
          <w:szCs w:val="24"/>
          <w:lang w:val="sr-Cyrl-RS"/>
        </w:rPr>
        <w:t>,00</w:t>
      </w:r>
      <w:r w:rsidR="00B726E5" w:rsidRPr="005252B4">
        <w:rPr>
          <w:rFonts w:ascii="Times New Roman" w:hAnsi="Times New Roman"/>
          <w:sz w:val="24"/>
          <w:szCs w:val="24"/>
          <w:lang w:val="sr-Cyrl-CS"/>
        </w:rPr>
        <w:t xml:space="preserve"> динара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/м</w:t>
      </w:r>
      <w:r w:rsidR="00B726E5" w:rsidRPr="00214E25">
        <w:rPr>
          <w:rFonts w:ascii="Times New Roman" w:hAnsi="Times New Roman"/>
          <w:sz w:val="24"/>
          <w:szCs w:val="24"/>
          <w:vertAlign w:val="superscript"/>
          <w:lang w:val="sr-Cyrl-CS"/>
        </w:rPr>
        <w:t>2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,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односно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укупно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12.856.454,00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</w:p>
    <w:p w14:paraId="62369A59" w14:textId="78B5743B" w:rsidR="00B726E5" w:rsidRDefault="00B726E5" w:rsidP="003F10F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(словима:</w:t>
      </w:r>
      <w:r w:rsidR="007737D5">
        <w:rPr>
          <w:rFonts w:ascii="Times New Roman" w:hAnsi="Times New Roman"/>
          <w:sz w:val="24"/>
          <w:szCs w:val="24"/>
          <w:lang w:val="sr-Cyrl-RS"/>
        </w:rPr>
        <w:t>дванаестмилионаосамстотинапедесетшестхиљадачетиристотинепедесетчетиридинара</w:t>
      </w:r>
      <w:r w:rsidRPr="00214E25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Pr="00214E25">
        <w:rPr>
          <w:rFonts w:ascii="Times New Roman" w:hAnsi="Times New Roman"/>
          <w:sz w:val="24"/>
          <w:szCs w:val="24"/>
          <w:lang w:val="sr-Cyrl-CS"/>
        </w:rPr>
        <w:t>00/100).</w:t>
      </w:r>
    </w:p>
    <w:p w14:paraId="436F3050" w14:textId="77777777" w:rsidR="003F10F5" w:rsidRPr="00214E25" w:rsidRDefault="003F10F5" w:rsidP="003F10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63CC32F4" w14:textId="1B9D4D59" w:rsidR="00B726E5" w:rsidRDefault="00B726E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(„Сл. лист општина Срема“, 18/18) и који прихвати услове овог огласа и понуди највиши износ.</w:t>
      </w:r>
    </w:p>
    <w:p w14:paraId="7CAD1277" w14:textId="77777777" w:rsidR="003F10F5" w:rsidRPr="00214E25" w:rsidRDefault="003F10F5" w:rsidP="00B72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BCBA6B0" w14:textId="16AA55D8" w:rsidR="00B726E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Земљиште се даје у власништво.</w:t>
      </w:r>
    </w:p>
    <w:p w14:paraId="1FAC07A1" w14:textId="77777777" w:rsidR="003F10F5" w:rsidRPr="00214E25" w:rsidRDefault="003F10F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EC684EE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Најповољнији понуђач који добије земљиште на отуђење дужан је да, поред излицитираног износа, сноси и друге пратеће трошкове по закључењу уговора (такса на оверу уговора, трошкови уписа у земљишне књиге, порез на пренос апсолутних права и др.)</w:t>
      </w:r>
    </w:p>
    <w:p w14:paraId="60E673E1" w14:textId="77777777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3F85B47" w14:textId="51BA0410" w:rsidR="00B726E5" w:rsidRPr="00214E25" w:rsidRDefault="00B726E5" w:rsidP="00B726E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(„Сл. лист општина Срема“, 18/18)  која до наведеног рока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Слободана Бајића 5,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пријаве учешће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на јавном надметању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sz w:val="24"/>
          <w:szCs w:val="24"/>
          <w:lang w:val="sr-Cyrl-CS"/>
        </w:rPr>
        <w:t>и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14E25">
        <w:rPr>
          <w:rFonts w:ascii="Times New Roman" w:hAnsi="Times New Roman"/>
          <w:b/>
          <w:sz w:val="24"/>
          <w:szCs w:val="24"/>
          <w:u w:val="single"/>
          <w:lang w:val="sr-Cyrl-CS"/>
        </w:rPr>
        <w:t>уплате депозит у износу од 10% почетне цене за јавно надметање</w:t>
      </w:r>
      <w:r w:rsidR="00983A12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тј. </w:t>
      </w:r>
      <w:r w:rsidR="007737D5">
        <w:rPr>
          <w:rFonts w:ascii="Times New Roman" w:hAnsi="Times New Roman"/>
          <w:b/>
          <w:sz w:val="24"/>
          <w:szCs w:val="24"/>
          <w:lang w:val="sr-Cyrl-CS"/>
        </w:rPr>
        <w:t>1.285.645,40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 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C3BE0">
        <w:rPr>
          <w:rFonts w:ascii="Times New Roman" w:hAnsi="Times New Roman"/>
          <w:sz w:val="24"/>
          <w:szCs w:val="24"/>
          <w:lang w:val="sr-Cyrl-CS"/>
        </w:rPr>
        <w:t>словима:</w:t>
      </w:r>
      <w:r w:rsidR="007737D5">
        <w:rPr>
          <w:rFonts w:ascii="Times New Roman" w:hAnsi="Times New Roman"/>
          <w:sz w:val="24"/>
          <w:szCs w:val="24"/>
          <w:lang w:val="sr-Cyrl-CS"/>
        </w:rPr>
        <w:t>милиондвестотинеосамдесетпетхиљадашестстотиначетрдесетпетдинара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и </w:t>
      </w:r>
      <w:r w:rsidR="007737D5">
        <w:rPr>
          <w:rFonts w:ascii="Times New Roman" w:hAnsi="Times New Roman"/>
          <w:sz w:val="24"/>
          <w:szCs w:val="24"/>
          <w:lang w:val="sr-Cyrl-CS"/>
        </w:rPr>
        <w:t>40</w:t>
      </w:r>
      <w:r w:rsidRPr="00214E25">
        <w:rPr>
          <w:rFonts w:ascii="Times New Roman" w:hAnsi="Times New Roman"/>
          <w:sz w:val="24"/>
          <w:szCs w:val="24"/>
          <w:lang w:val="sr-Cyrl-CS"/>
        </w:rPr>
        <w:t>/100) на текући рачун Депозита за лицитацију грађевинског земљишта број 840-1136804-42, са позивом на број 96-227, по моделу 97.</w:t>
      </w:r>
    </w:p>
    <w:p w14:paraId="69D272C8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Пријава мора да садржи:</w:t>
      </w:r>
    </w:p>
    <w:p w14:paraId="498A4124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лица и предузетнике:</w:t>
      </w:r>
    </w:p>
    <w:p w14:paraId="57F1DDCA" w14:textId="77777777" w:rsidR="00B726E5" w:rsidRPr="00214E25" w:rsidRDefault="00B726E5" w:rsidP="00B726E5">
      <w:pPr>
        <w:pStyle w:val="ListParagraph"/>
        <w:tabs>
          <w:tab w:val="left" w:pos="90"/>
          <w:tab w:val="left" w:pos="810"/>
          <w:tab w:val="left" w:pos="990"/>
        </w:tabs>
        <w:spacing w:after="0" w:line="240" w:lineRule="auto"/>
        <w:ind w:left="135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назив и седиште учесника, податке о упису у регистар надлежног органа (број, датум и назив органа), порески идентификациони број (ПИБ), потпис овлашћеног лица и печат;</w:t>
      </w:r>
    </w:p>
    <w:p w14:paraId="74D674CF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физичка лица:</w:t>
      </w:r>
    </w:p>
    <w:p w14:paraId="624C0EA6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име и презиме, адреса и матични број;</w:t>
      </w:r>
    </w:p>
    <w:p w14:paraId="1ADAF469" w14:textId="77777777" w:rsidR="00B726E5" w:rsidRPr="00214E25" w:rsidRDefault="00B726E5" w:rsidP="00B726E5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За правна и физичка лица:</w:t>
      </w:r>
    </w:p>
    <w:p w14:paraId="5CDF2E85" w14:textId="77777777" w:rsidR="00B726E5" w:rsidRPr="00214E25" w:rsidRDefault="00B726E5" w:rsidP="00B726E5">
      <w:pPr>
        <w:pStyle w:val="ListParagraph"/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-  изјаву о прихватању услова овог огласа.</w:t>
      </w:r>
    </w:p>
    <w:p w14:paraId="79087E0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5D6D676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Уз пријаву учесник је дужан да достави и:</w:t>
      </w:r>
    </w:p>
    <w:p w14:paraId="2DEE4E80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доказ о уплаћеном гарантном износу, односно копију исправе о уплати депозита,</w:t>
      </w:r>
    </w:p>
    <w:p w14:paraId="2A4651FA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овлашћење за заступање (уколико лице које потписује пријаву није законски заступник учесника)</w:t>
      </w:r>
    </w:p>
    <w:p w14:paraId="66C3B69D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физичка лица,</w:t>
      </w:r>
    </w:p>
    <w:p w14:paraId="7D419A38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фотокопију личне карте за законског заступника као у за лице које је овлашћено за учешће на лицитацији, за правна лица,</w:t>
      </w:r>
    </w:p>
    <w:p w14:paraId="58C659D7" w14:textId="77777777" w:rsidR="00B726E5" w:rsidRPr="00214E25" w:rsidRDefault="00B726E5" w:rsidP="00B726E5">
      <w:pPr>
        <w:tabs>
          <w:tab w:val="left" w:pos="90"/>
          <w:tab w:val="left" w:pos="630"/>
        </w:tabs>
        <w:spacing w:after="0" w:line="240" w:lineRule="auto"/>
        <w:ind w:left="630" w:hanging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lastRenderedPageBreak/>
        <w:t>-</w:t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решење о упису у Регистар привредних субјеката или други одговарајући   регистар.</w:t>
      </w:r>
    </w:p>
    <w:p w14:paraId="4C7184EA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4EFDB" w14:textId="034C5A2F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Рок за достављање пријава и припадајуће документације је </w:t>
      </w:r>
      <w:r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30 дана од дана јавног објављивања огласа на интернет страници општине Пећинци </w:t>
      </w:r>
      <w:hyperlink r:id="rId8" w:history="1"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www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pecinci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 w:rsidRPr="00214E25">
          <w:rPr>
            <w:rStyle w:val="Hyperlink"/>
            <w:rFonts w:ascii="Times New Roman" w:hAnsi="Times New Roman"/>
            <w:b/>
            <w:sz w:val="24"/>
            <w:szCs w:val="24"/>
          </w:rPr>
          <w:t>org</w:t>
        </w:r>
      </w:hyperlink>
      <w:r w:rsidR="003F10F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BA6B4D">
        <w:rPr>
          <w:rFonts w:ascii="Times New Roman" w:hAnsi="Times New Roman"/>
          <w:sz w:val="24"/>
          <w:szCs w:val="24"/>
          <w:lang w:val="ru-RU"/>
        </w:rPr>
        <w:t>Пећиначким</w:t>
      </w:r>
      <w:r w:rsidR="003F10F5">
        <w:rPr>
          <w:rFonts w:ascii="Times New Roman" w:hAnsi="Times New Roman"/>
          <w:sz w:val="24"/>
          <w:szCs w:val="24"/>
          <w:lang w:val="ru-RU"/>
        </w:rPr>
        <w:t xml:space="preserve"> новинама, 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односно до </w:t>
      </w:r>
      <w:r w:rsidR="007737D5">
        <w:rPr>
          <w:rFonts w:ascii="Times New Roman" w:hAnsi="Times New Roman"/>
          <w:sz w:val="24"/>
          <w:szCs w:val="24"/>
          <w:lang w:val="sr-Cyrl-RS"/>
        </w:rPr>
        <w:t>14.02.2022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. године у </w:t>
      </w:r>
      <w:r w:rsidR="00C13A2C">
        <w:rPr>
          <w:rFonts w:ascii="Times New Roman" w:hAnsi="Times New Roman"/>
          <w:sz w:val="24"/>
          <w:szCs w:val="24"/>
          <w:lang w:val="sr-Cyrl-CS"/>
        </w:rPr>
        <w:t>9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часова.</w:t>
      </w:r>
    </w:p>
    <w:p w14:paraId="6A727F2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5849F6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Уколико пријава учесника не садржи све потребне податке, или су подаци дати супротно објављеним условима, или није примљен доказ о уплати гарантног износа,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пријава.</w:t>
      </w:r>
    </w:p>
    <w:p w14:paraId="0BE53BD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436859E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Учесник који не поступи по захтеву Комисије, губи право учешћа у јавном надметању.</w:t>
      </w:r>
    </w:p>
    <w:p w14:paraId="6AB0F3A9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21807E93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 завршеном јавном надметању гарантни износ се враћа учесницима јавног надметања, осим најповољнијем понуђачу, коме се за износ уплаћеног гарантног износа умањује износ цене. Уколико најповољнији понуђач, у поступку закључења уговора о отуђењу одустане од дате понуде, односно у року од 30 дана од дана достављања Решења Скупштине општине Пећинци о отуђењу грађевинског земљишта не приступи закључењу Уговора о отуђењу, нема право на повраћај гарантног износа.</w:t>
      </w:r>
    </w:p>
    <w:p w14:paraId="5984A19F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03930E5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Поступак јавног надметања спровешће Комисија за спровођење поступка располагања грађевинским земљиштем ЈКП </w:t>
      </w:r>
      <w:r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Pr="00214E25">
        <w:rPr>
          <w:rFonts w:ascii="Times New Roman" w:hAnsi="Times New Roman"/>
          <w:sz w:val="24"/>
          <w:szCs w:val="24"/>
          <w:lang w:val="sr-Cyrl-CS"/>
        </w:rPr>
        <w:t xml:space="preserve"> Пећинци.</w:t>
      </w:r>
    </w:p>
    <w:p w14:paraId="3D159CC1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2B709C" w14:textId="77777777" w:rsidR="00B726E5" w:rsidRPr="00214E2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отуђењу, односно купопродаји грађевинског земљишта. Уколико у овом року понуђач који да најповољнију понуду не приступи закључењу Уговор о отуђењу, Решење о отуђењу ће бити стављено ван снаге.</w:t>
      </w:r>
    </w:p>
    <w:p w14:paraId="7A8BB1A3" w14:textId="51395AC5" w:rsidR="00B726E5" w:rsidRDefault="00B726E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>Понуђач који да најповољнију понуду и који са општином Пећинци закључи Уговор о отуђењу, односно купопродаји грађевинског земљишта дужан је да излицитирану и уговорену цену, умањену за износ уплаћеног гарантног износа, односно депозита, уплати на рачун општине Пећинци у року од 15 дана од дана закључења уговора.</w:t>
      </w:r>
    </w:p>
    <w:p w14:paraId="205C19E0" w14:textId="77777777" w:rsidR="003F10F5" w:rsidRPr="00214E25" w:rsidRDefault="003F10F5" w:rsidP="00B726E5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5C2AB76B" w14:textId="77777777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  <w:t>Уколико понуђач, у овом року не изврши уплату купопродајне цене, сматра се да је уговор раскинут по сили закона, а понуђач губи право на повраћај гарантног износа.</w:t>
      </w:r>
    </w:p>
    <w:p w14:paraId="3F798BA1" w14:textId="77777777" w:rsidR="003F10F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ab/>
      </w:r>
      <w:r w:rsidRPr="00214E25">
        <w:rPr>
          <w:rFonts w:ascii="Times New Roman" w:hAnsi="Times New Roman"/>
          <w:sz w:val="24"/>
          <w:szCs w:val="24"/>
          <w:lang w:val="sr-Cyrl-CS"/>
        </w:rPr>
        <w:tab/>
      </w:r>
    </w:p>
    <w:p w14:paraId="6DCB7D54" w14:textId="380FF5E1" w:rsidR="00B726E5" w:rsidRPr="00214E25" w:rsidRDefault="003F10F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Јавно надметање ће бити одржано дана </w:t>
      </w:r>
      <w:r w:rsidR="007737D5">
        <w:rPr>
          <w:rFonts w:ascii="Times New Roman" w:hAnsi="Times New Roman"/>
          <w:b/>
          <w:sz w:val="24"/>
          <w:szCs w:val="24"/>
          <w:lang w:val="sr-Cyrl-CS"/>
        </w:rPr>
        <w:t>17.02.2022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. године у </w:t>
      </w:r>
      <w:r w:rsidR="00A034F7" w:rsidRPr="00214E25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7737D5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B726E5" w:rsidRPr="00214E25">
        <w:rPr>
          <w:rFonts w:ascii="Times New Roman" w:hAnsi="Times New Roman"/>
          <w:b/>
          <w:sz w:val="24"/>
          <w:szCs w:val="24"/>
          <w:lang w:val="sr-Cyrl-CS"/>
        </w:rPr>
        <w:t xml:space="preserve">,00 часова 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у просторијама ЈКП 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„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>ПУТЕВИ ОПШТИНЕ ПЕЋИНЦИ</w:t>
      </w:r>
      <w:r w:rsidR="00B726E5" w:rsidRPr="00214E25">
        <w:rPr>
          <w:rFonts w:ascii="Times New Roman" w:hAnsi="Times New Roman"/>
          <w:sz w:val="24"/>
          <w:szCs w:val="24"/>
          <w:lang w:val="sr-Latn-CS"/>
        </w:rPr>
        <w:t>“</w:t>
      </w:r>
      <w:r w:rsidR="00B726E5" w:rsidRPr="00214E25">
        <w:rPr>
          <w:rFonts w:ascii="Times New Roman" w:hAnsi="Times New Roman"/>
          <w:sz w:val="24"/>
          <w:szCs w:val="24"/>
          <w:lang w:val="sr-Cyrl-CS"/>
        </w:rPr>
        <w:t xml:space="preserve"> Пећинци, улица Слободана Бајића 5, Пећинци.</w:t>
      </w:r>
    </w:p>
    <w:p w14:paraId="3293EA37" w14:textId="3EDB24A6" w:rsidR="00B726E5" w:rsidRPr="00214E25" w:rsidRDefault="00B726E5" w:rsidP="00B726E5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4E25">
        <w:rPr>
          <w:rFonts w:ascii="Times New Roman" w:hAnsi="Times New Roman"/>
          <w:sz w:val="24"/>
          <w:szCs w:val="24"/>
          <w:lang w:val="sr-Cyrl-CS"/>
        </w:rPr>
        <w:t xml:space="preserve">              За све додатне информације обратити се на телефон 022/400-735 или путем мејла на </w:t>
      </w:r>
      <w:r w:rsidR="00594C3B">
        <w:rPr>
          <w:rFonts w:ascii="Times New Roman" w:hAnsi="Times New Roman"/>
          <w:sz w:val="24"/>
          <w:szCs w:val="24"/>
          <w:lang w:val="en-GB"/>
        </w:rPr>
        <w:t>direkcija</w:t>
      </w:r>
      <w:r w:rsidRPr="00214E25">
        <w:rPr>
          <w:rFonts w:ascii="Times New Roman" w:hAnsi="Times New Roman"/>
          <w:sz w:val="24"/>
          <w:szCs w:val="24"/>
          <w:lang w:val="ru-RU"/>
        </w:rPr>
        <w:t>@</w:t>
      </w:r>
      <w:r w:rsidRPr="00214E25">
        <w:rPr>
          <w:rFonts w:ascii="Times New Roman" w:hAnsi="Times New Roman"/>
          <w:sz w:val="24"/>
          <w:szCs w:val="24"/>
        </w:rPr>
        <w:t>pecinci</w:t>
      </w:r>
      <w:r w:rsidRPr="00214E25">
        <w:rPr>
          <w:rFonts w:ascii="Times New Roman" w:hAnsi="Times New Roman"/>
          <w:sz w:val="24"/>
          <w:szCs w:val="24"/>
          <w:lang w:val="ru-RU"/>
        </w:rPr>
        <w:t>.</w:t>
      </w:r>
      <w:r w:rsidRPr="00214E25">
        <w:rPr>
          <w:rFonts w:ascii="Times New Roman" w:hAnsi="Times New Roman"/>
          <w:sz w:val="24"/>
          <w:szCs w:val="24"/>
        </w:rPr>
        <w:t>org</w:t>
      </w:r>
      <w:r w:rsidRPr="00214E25">
        <w:rPr>
          <w:rFonts w:ascii="Times New Roman" w:hAnsi="Times New Roman"/>
          <w:sz w:val="24"/>
          <w:szCs w:val="24"/>
          <w:lang w:val="sr-Cyrl-CS"/>
        </w:rPr>
        <w:t>.</w:t>
      </w:r>
    </w:p>
    <w:p w14:paraId="6F8D0CA1" w14:textId="77777777" w:rsidR="00B726E5" w:rsidRPr="00214E25" w:rsidRDefault="00B726E5" w:rsidP="00B726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14:paraId="718505B7" w14:textId="77777777" w:rsidR="00E240DE" w:rsidRPr="00214E25" w:rsidRDefault="00E240DE" w:rsidP="00E240DE">
      <w:pPr>
        <w:tabs>
          <w:tab w:val="left" w:pos="9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3A094DDB" w14:textId="77777777" w:rsidR="00E240DE" w:rsidRPr="00214E25" w:rsidRDefault="00E240DE" w:rsidP="00E240DE">
      <w:pPr>
        <w:tabs>
          <w:tab w:val="left" w:pos="9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4DB5A7EC" w14:textId="77777777" w:rsidR="00B57682" w:rsidRPr="00214E25" w:rsidRDefault="00B57682">
      <w:pPr>
        <w:rPr>
          <w:rFonts w:ascii="Times New Roman" w:hAnsi="Times New Roman"/>
          <w:sz w:val="24"/>
          <w:szCs w:val="24"/>
        </w:rPr>
      </w:pPr>
    </w:p>
    <w:sectPr w:rsidR="00B57682" w:rsidRPr="00214E25" w:rsidSect="00214E25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90F7" w14:textId="77777777" w:rsidR="004C44CB" w:rsidRDefault="004C44CB">
      <w:pPr>
        <w:spacing w:after="0" w:line="240" w:lineRule="auto"/>
      </w:pPr>
      <w:r>
        <w:separator/>
      </w:r>
    </w:p>
  </w:endnote>
  <w:endnote w:type="continuationSeparator" w:id="0">
    <w:p w14:paraId="2EB43C82" w14:textId="77777777" w:rsidR="004C44CB" w:rsidRDefault="004C4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C9065" w14:textId="17CD12A6" w:rsidR="004859D6" w:rsidRPr="00C17E1C" w:rsidRDefault="004859D6" w:rsidP="004859D6">
    <w:pPr>
      <w:pStyle w:val="Footer"/>
      <w:jc w:val="center"/>
      <w:rPr>
        <w:rFonts w:ascii="Times New Roman" w:hAnsi="Times New Roman"/>
      </w:rPr>
    </w:pPr>
    <w:r w:rsidRPr="00C17E1C">
      <w:rPr>
        <w:rFonts w:ascii="Times New Roman" w:hAnsi="Times New Roman"/>
      </w:rPr>
      <w:fldChar w:fldCharType="begin"/>
    </w:r>
    <w:r w:rsidRPr="00C17E1C">
      <w:rPr>
        <w:rFonts w:ascii="Times New Roman" w:hAnsi="Times New Roman"/>
      </w:rPr>
      <w:instrText xml:space="preserve"> PAGE   \* MERGEFORMAT </w:instrText>
    </w:r>
    <w:r w:rsidRPr="00C17E1C">
      <w:rPr>
        <w:rFonts w:ascii="Times New Roman" w:hAnsi="Times New Roman"/>
      </w:rPr>
      <w:fldChar w:fldCharType="separate"/>
    </w:r>
    <w:r w:rsidR="007737D5">
      <w:rPr>
        <w:rFonts w:ascii="Times New Roman" w:hAnsi="Times New Roman"/>
        <w:noProof/>
      </w:rPr>
      <w:t>1</w:t>
    </w:r>
    <w:r w:rsidRPr="00C17E1C">
      <w:rPr>
        <w:rFonts w:ascii="Times New Roman" w:hAnsi="Times New Roman"/>
      </w:rPr>
      <w:fldChar w:fldCharType="end"/>
    </w:r>
  </w:p>
  <w:p w14:paraId="213C3142" w14:textId="77777777" w:rsidR="004859D6" w:rsidRDefault="00485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7EC33B" w14:textId="77777777" w:rsidR="004C44CB" w:rsidRDefault="004C44CB">
      <w:pPr>
        <w:spacing w:after="0" w:line="240" w:lineRule="auto"/>
      </w:pPr>
      <w:r>
        <w:separator/>
      </w:r>
    </w:p>
  </w:footnote>
  <w:footnote w:type="continuationSeparator" w:id="0">
    <w:p w14:paraId="372C7B0A" w14:textId="77777777" w:rsidR="004C44CB" w:rsidRDefault="004C4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563"/>
    <w:multiLevelType w:val="hybridMultilevel"/>
    <w:tmpl w:val="E0E0A142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1060"/>
    <w:multiLevelType w:val="hybridMultilevel"/>
    <w:tmpl w:val="06F64848"/>
    <w:lvl w:ilvl="0" w:tplc="52E0F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85493"/>
    <w:multiLevelType w:val="hybridMultilevel"/>
    <w:tmpl w:val="BBF668D0"/>
    <w:lvl w:ilvl="0" w:tplc="C106B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C4DD5"/>
    <w:multiLevelType w:val="hybridMultilevel"/>
    <w:tmpl w:val="601EC4BC"/>
    <w:lvl w:ilvl="0" w:tplc="12B6453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B2A2016"/>
    <w:multiLevelType w:val="hybridMultilevel"/>
    <w:tmpl w:val="2A66FF60"/>
    <w:lvl w:ilvl="0" w:tplc="3E385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E23D43"/>
    <w:multiLevelType w:val="hybridMultilevel"/>
    <w:tmpl w:val="4088285A"/>
    <w:lvl w:ilvl="0" w:tplc="599E6280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A52F8B"/>
    <w:multiLevelType w:val="hybridMultilevel"/>
    <w:tmpl w:val="2198092A"/>
    <w:lvl w:ilvl="0" w:tplc="828E0C02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45BE5064"/>
    <w:multiLevelType w:val="hybridMultilevel"/>
    <w:tmpl w:val="9A36B120"/>
    <w:lvl w:ilvl="0" w:tplc="CD386764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1" w:tplc="F47012DC">
      <w:numFmt w:val="bullet"/>
      <w:lvlText w:val="•"/>
      <w:lvlJc w:val="left"/>
      <w:pPr>
        <w:ind w:left="1982" w:hanging="360"/>
      </w:pPr>
      <w:rPr>
        <w:rFonts w:hint="default"/>
        <w:lang w:eastAsia="en-US" w:bidi="ar-SA"/>
      </w:rPr>
    </w:lvl>
    <w:lvl w:ilvl="2" w:tplc="D9264A0C">
      <w:numFmt w:val="bullet"/>
      <w:lvlText w:val="•"/>
      <w:lvlJc w:val="left"/>
      <w:pPr>
        <w:ind w:left="2924" w:hanging="360"/>
      </w:pPr>
      <w:rPr>
        <w:rFonts w:hint="default"/>
        <w:lang w:eastAsia="en-US" w:bidi="ar-SA"/>
      </w:rPr>
    </w:lvl>
    <w:lvl w:ilvl="3" w:tplc="1B840058">
      <w:numFmt w:val="bullet"/>
      <w:lvlText w:val="•"/>
      <w:lvlJc w:val="left"/>
      <w:pPr>
        <w:ind w:left="3866" w:hanging="360"/>
      </w:pPr>
      <w:rPr>
        <w:rFonts w:hint="default"/>
        <w:lang w:eastAsia="en-US" w:bidi="ar-SA"/>
      </w:rPr>
    </w:lvl>
    <w:lvl w:ilvl="4" w:tplc="827440B8">
      <w:numFmt w:val="bullet"/>
      <w:lvlText w:val="•"/>
      <w:lvlJc w:val="left"/>
      <w:pPr>
        <w:ind w:left="4808" w:hanging="360"/>
      </w:pPr>
      <w:rPr>
        <w:rFonts w:hint="default"/>
        <w:lang w:eastAsia="en-US" w:bidi="ar-SA"/>
      </w:rPr>
    </w:lvl>
    <w:lvl w:ilvl="5" w:tplc="22C6488E">
      <w:numFmt w:val="bullet"/>
      <w:lvlText w:val="•"/>
      <w:lvlJc w:val="left"/>
      <w:pPr>
        <w:ind w:left="5750" w:hanging="360"/>
      </w:pPr>
      <w:rPr>
        <w:rFonts w:hint="default"/>
        <w:lang w:eastAsia="en-US" w:bidi="ar-SA"/>
      </w:rPr>
    </w:lvl>
    <w:lvl w:ilvl="6" w:tplc="DAA81D5C">
      <w:numFmt w:val="bullet"/>
      <w:lvlText w:val="•"/>
      <w:lvlJc w:val="left"/>
      <w:pPr>
        <w:ind w:left="6692" w:hanging="360"/>
      </w:pPr>
      <w:rPr>
        <w:rFonts w:hint="default"/>
        <w:lang w:eastAsia="en-US" w:bidi="ar-SA"/>
      </w:rPr>
    </w:lvl>
    <w:lvl w:ilvl="7" w:tplc="B2B8DB24">
      <w:numFmt w:val="bullet"/>
      <w:lvlText w:val="•"/>
      <w:lvlJc w:val="left"/>
      <w:pPr>
        <w:ind w:left="7634" w:hanging="360"/>
      </w:pPr>
      <w:rPr>
        <w:rFonts w:hint="default"/>
        <w:lang w:eastAsia="en-US" w:bidi="ar-SA"/>
      </w:rPr>
    </w:lvl>
    <w:lvl w:ilvl="8" w:tplc="83CC8EF2">
      <w:numFmt w:val="bullet"/>
      <w:lvlText w:val="•"/>
      <w:lvlJc w:val="left"/>
      <w:pPr>
        <w:ind w:left="8576" w:hanging="360"/>
      </w:pPr>
      <w:rPr>
        <w:rFonts w:hint="default"/>
        <w:lang w:eastAsia="en-US" w:bidi="ar-SA"/>
      </w:rPr>
    </w:lvl>
  </w:abstractNum>
  <w:abstractNum w:abstractNumId="8" w15:restartNumberingAfterBreak="0">
    <w:nsid w:val="47D91109"/>
    <w:multiLevelType w:val="hybridMultilevel"/>
    <w:tmpl w:val="2D161388"/>
    <w:lvl w:ilvl="0" w:tplc="0B7AAD6A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A53196F"/>
    <w:multiLevelType w:val="hybridMultilevel"/>
    <w:tmpl w:val="B8C85E74"/>
    <w:lvl w:ilvl="0" w:tplc="DB40DA4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61C4923"/>
    <w:multiLevelType w:val="hybridMultilevel"/>
    <w:tmpl w:val="292CC242"/>
    <w:lvl w:ilvl="0" w:tplc="D5D0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1" w15:restartNumberingAfterBreak="0">
    <w:nsid w:val="5E454933"/>
    <w:multiLevelType w:val="hybridMultilevel"/>
    <w:tmpl w:val="4BA2F736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860DA"/>
    <w:multiLevelType w:val="hybridMultilevel"/>
    <w:tmpl w:val="DCF8ABC0"/>
    <w:lvl w:ilvl="0" w:tplc="201E9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2DC"/>
    <w:multiLevelType w:val="hybridMultilevel"/>
    <w:tmpl w:val="1CF6514C"/>
    <w:lvl w:ilvl="0" w:tplc="1870C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CD5"/>
    <w:rsid w:val="000554E8"/>
    <w:rsid w:val="00055D5B"/>
    <w:rsid w:val="000571D8"/>
    <w:rsid w:val="00061557"/>
    <w:rsid w:val="0008535A"/>
    <w:rsid w:val="00090014"/>
    <w:rsid w:val="000B3ADE"/>
    <w:rsid w:val="000B5425"/>
    <w:rsid w:val="000C7600"/>
    <w:rsid w:val="000E3648"/>
    <w:rsid w:val="001256BB"/>
    <w:rsid w:val="0014050D"/>
    <w:rsid w:val="00175F35"/>
    <w:rsid w:val="00190D74"/>
    <w:rsid w:val="001B367B"/>
    <w:rsid w:val="001D7FC3"/>
    <w:rsid w:val="00214E25"/>
    <w:rsid w:val="00221B84"/>
    <w:rsid w:val="0024010A"/>
    <w:rsid w:val="00265A0A"/>
    <w:rsid w:val="002945E4"/>
    <w:rsid w:val="002B6CFB"/>
    <w:rsid w:val="002C6E1A"/>
    <w:rsid w:val="002E09FF"/>
    <w:rsid w:val="002F6D07"/>
    <w:rsid w:val="00306B56"/>
    <w:rsid w:val="0031530F"/>
    <w:rsid w:val="00322863"/>
    <w:rsid w:val="00336225"/>
    <w:rsid w:val="00340804"/>
    <w:rsid w:val="00364D50"/>
    <w:rsid w:val="003B1527"/>
    <w:rsid w:val="003B43D2"/>
    <w:rsid w:val="003F10F5"/>
    <w:rsid w:val="003F28CE"/>
    <w:rsid w:val="00453422"/>
    <w:rsid w:val="00462095"/>
    <w:rsid w:val="004859D6"/>
    <w:rsid w:val="004C44CB"/>
    <w:rsid w:val="004C5763"/>
    <w:rsid w:val="004F0C30"/>
    <w:rsid w:val="005252B4"/>
    <w:rsid w:val="0053119B"/>
    <w:rsid w:val="00594C3B"/>
    <w:rsid w:val="005B4C47"/>
    <w:rsid w:val="005C4292"/>
    <w:rsid w:val="0062152B"/>
    <w:rsid w:val="006858CE"/>
    <w:rsid w:val="006C1444"/>
    <w:rsid w:val="006D6E0B"/>
    <w:rsid w:val="007413BB"/>
    <w:rsid w:val="00742672"/>
    <w:rsid w:val="00746E08"/>
    <w:rsid w:val="007737D5"/>
    <w:rsid w:val="0080141F"/>
    <w:rsid w:val="00834020"/>
    <w:rsid w:val="00896011"/>
    <w:rsid w:val="00896478"/>
    <w:rsid w:val="008C0A0F"/>
    <w:rsid w:val="008C4BDE"/>
    <w:rsid w:val="00983A12"/>
    <w:rsid w:val="009A5404"/>
    <w:rsid w:val="009A7980"/>
    <w:rsid w:val="009C3BE0"/>
    <w:rsid w:val="009C3CBB"/>
    <w:rsid w:val="009C49D7"/>
    <w:rsid w:val="00A034F7"/>
    <w:rsid w:val="00A31348"/>
    <w:rsid w:val="00A35F7E"/>
    <w:rsid w:val="00AA2634"/>
    <w:rsid w:val="00AA5F4B"/>
    <w:rsid w:val="00AA71D7"/>
    <w:rsid w:val="00AB5E3B"/>
    <w:rsid w:val="00AB784F"/>
    <w:rsid w:val="00AF09E9"/>
    <w:rsid w:val="00AF19A0"/>
    <w:rsid w:val="00B108DA"/>
    <w:rsid w:val="00B2335F"/>
    <w:rsid w:val="00B45B79"/>
    <w:rsid w:val="00B57682"/>
    <w:rsid w:val="00B66135"/>
    <w:rsid w:val="00B726E5"/>
    <w:rsid w:val="00BA6B4D"/>
    <w:rsid w:val="00BB3350"/>
    <w:rsid w:val="00BC5181"/>
    <w:rsid w:val="00BD6C37"/>
    <w:rsid w:val="00C13A2C"/>
    <w:rsid w:val="00C514FE"/>
    <w:rsid w:val="00C550BB"/>
    <w:rsid w:val="00C63F9A"/>
    <w:rsid w:val="00C87784"/>
    <w:rsid w:val="00CB2D21"/>
    <w:rsid w:val="00CD6738"/>
    <w:rsid w:val="00D078DD"/>
    <w:rsid w:val="00D75E12"/>
    <w:rsid w:val="00DF0B58"/>
    <w:rsid w:val="00E14017"/>
    <w:rsid w:val="00E240DE"/>
    <w:rsid w:val="00E31BF4"/>
    <w:rsid w:val="00E3260E"/>
    <w:rsid w:val="00E366DB"/>
    <w:rsid w:val="00E42E98"/>
    <w:rsid w:val="00E6150E"/>
    <w:rsid w:val="00E82C81"/>
    <w:rsid w:val="00EA576B"/>
    <w:rsid w:val="00EB7B80"/>
    <w:rsid w:val="00EC2DA3"/>
    <w:rsid w:val="00F13754"/>
    <w:rsid w:val="00F61D23"/>
    <w:rsid w:val="00F6557D"/>
    <w:rsid w:val="00F728EC"/>
    <w:rsid w:val="00F72E1D"/>
    <w:rsid w:val="00F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B3FA"/>
  <w15:chartTrackingRefBased/>
  <w15:docId w15:val="{C6967464-55A2-4A78-8687-589CB7F8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0DE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E240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24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DE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E240DE"/>
    <w:rPr>
      <w:color w:val="0000FF"/>
      <w:u w:val="single"/>
    </w:rPr>
  </w:style>
  <w:style w:type="paragraph" w:customStyle="1" w:styleId="Default">
    <w:name w:val="Default"/>
    <w:rsid w:val="00E240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4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726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B726E5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E09FF"/>
    <w:pPr>
      <w:widowControl w:val="0"/>
      <w:autoSpaceDE w:val="0"/>
      <w:autoSpaceDN w:val="0"/>
      <w:spacing w:after="0" w:line="240" w:lineRule="auto"/>
      <w:ind w:left="32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E09FF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0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FF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inc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E7F9F-9ADC-41AE-948A-96FF38B3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JKP Putevi</dc:creator>
  <cp:keywords/>
  <dc:description/>
  <cp:lastModifiedBy>Korisnik</cp:lastModifiedBy>
  <cp:revision>2</cp:revision>
  <cp:lastPrinted>2022-01-13T10:31:00Z</cp:lastPrinted>
  <dcterms:created xsi:type="dcterms:W3CDTF">2022-01-13T10:33:00Z</dcterms:created>
  <dcterms:modified xsi:type="dcterms:W3CDTF">2022-01-13T10:33:00Z</dcterms:modified>
</cp:coreProperties>
</file>