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74056BFE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A35F7E">
        <w:rPr>
          <w:rFonts w:ascii="Times New Roman" w:hAnsi="Times New Roman"/>
          <w:b/>
          <w:sz w:val="24"/>
          <w:szCs w:val="24"/>
        </w:rPr>
        <w:t>16.11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.2021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45A560A9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728EC">
        <w:rPr>
          <w:rFonts w:ascii="Times New Roman" w:hAnsi="Times New Roman"/>
          <w:b/>
          <w:sz w:val="24"/>
          <w:szCs w:val="24"/>
        </w:rPr>
        <w:t>590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31D34881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Шимановци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781C09C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F6557D">
        <w:rPr>
          <w:rFonts w:ascii="Times New Roman" w:hAnsi="Times New Roman"/>
          <w:sz w:val="24"/>
          <w:szCs w:val="24"/>
          <w:lang w:val="ru-RU"/>
        </w:rPr>
        <w:t>2035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F6557D">
        <w:rPr>
          <w:rFonts w:ascii="Times New Roman" w:hAnsi="Times New Roman"/>
          <w:sz w:val="24"/>
          <w:szCs w:val="24"/>
          <w:lang w:val="sr-Cyrl-CS"/>
        </w:rPr>
        <w:t>Шимановци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1589769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F728EC">
        <w:rPr>
          <w:rFonts w:ascii="Times New Roman" w:hAnsi="Times New Roman"/>
          <w:b/>
          <w:sz w:val="24"/>
          <w:szCs w:val="24"/>
        </w:rPr>
        <w:t>556/3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земљиште у грађевинском подручју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RS"/>
        </w:rPr>
        <w:t>пашњак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F728EC">
        <w:rPr>
          <w:rFonts w:ascii="Times New Roman" w:hAnsi="Times New Roman"/>
          <w:b/>
          <w:sz w:val="24"/>
          <w:szCs w:val="24"/>
        </w:rPr>
        <w:t>8.381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14DBA34B" w14:textId="358656B6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3A1E69" w14:textId="15CAE50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Плански документ</w:t>
      </w:r>
    </w:p>
    <w:p w14:paraId="61AD855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58E1940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Информација о локацији издаје се на основу Плана генералне регулације насеља Шимановци („Сл. лист општина Срема“, бр. 31/15, 1/18 и 28/20).</w:t>
      </w:r>
    </w:p>
    <w:p w14:paraId="60F9A61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464B0DE" w14:textId="38D55851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Целине и зоне</w:t>
      </w:r>
    </w:p>
    <w:p w14:paraId="05E2148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D3B789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Предметна катастарска парцела број 556/3 К.О.Шимановци налази се у грађевинском подручју насеља Шимановци блок Б-4-5, у радној зони.</w:t>
      </w:r>
    </w:p>
    <w:p w14:paraId="7D8EB72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7158C77" w14:textId="4DE62953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Намена земљишта</w:t>
      </w:r>
    </w:p>
    <w:p w14:paraId="40BA92B6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09B360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Радна зона</w:t>
      </w:r>
    </w:p>
    <w:p w14:paraId="6D7438D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парцелама радне зоне могућа је изградња објеката привреде већих капацитета и то: </w:t>
      </w:r>
    </w:p>
    <w:p w14:paraId="1EB5F7A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изградња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производних комплекса секундарних и терцијерних делатности где су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сви објекти производни у функцији технолошког поступка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који се одвија на парцели (помоћни објекти и отворени простори су у функцији производних објеката). Целокупна делатност мора да се одвија на властитој парцели; </w:t>
      </w:r>
    </w:p>
    <w:p w14:paraId="45E9E62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У овим зонама могуће је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да се формирају и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парцеле специфичних намена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из области услуга, </w:t>
      </w:r>
      <w:r w:rsidRPr="00F728EC">
        <w:rPr>
          <w:rFonts w:ascii="Times New Roman" w:hAnsi="Times New Roman"/>
          <w:iCs/>
          <w:color w:val="000000" w:themeColor="text1"/>
          <w:lang w:val="sr-Cyrl-RS"/>
        </w:rPr>
        <w:t>нпр</w:t>
      </w: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 xml:space="preserve">. </w:t>
      </w:r>
      <w:r w:rsidRPr="00F728EC">
        <w:rPr>
          <w:rFonts w:ascii="Times New Roman" w:hAnsi="Times New Roman"/>
          <w:color w:val="000000" w:themeColor="text1"/>
          <w:lang w:val="sr-Cyrl-RS"/>
        </w:rPr>
        <w:t>неких нетипичних делатности, мале привреде, бензинских станица, или за изградњу хотелских капацитета, пре свега пословних хотела са потребним врстама просторија прописаним за одређене категорије хотела.</w:t>
      </w:r>
    </w:p>
    <w:p w14:paraId="393054D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радним зонама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лоцираће се објекти за делатности које захтевају веће просторе и које негативно утичу на околину: привредни, складишни, услужни и слични објекти.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регулације предвиђено да се део парцеле ангажује за јавно земљиште. У неким деловима радне зоне могу се реализовати и урбанистичким пројектима урбанистичко -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ширине. </w:t>
      </w:r>
    </w:p>
    <w:p w14:paraId="0E34A08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основу Плана генералне регулације код постојећих комплекса могућа је изградња, доградња и реконструкција у функцији основне намене и то као завршетак започетих целина. </w:t>
      </w:r>
    </w:p>
    <w:p w14:paraId="13FFAA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23AA8D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Код промене намене постојећих комплекса (технолошког процеса) обавезна је израда урбанистичког пројекта.</w:t>
      </w:r>
    </w:p>
    <w:p w14:paraId="2F6CEAC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776229" w14:textId="0F2F2416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парцелације и препарцелације</w:t>
      </w:r>
    </w:p>
    <w:p w14:paraId="7EFD632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9D1F27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за формирање грађевинске парцеле у радној зони</w:t>
      </w:r>
    </w:p>
    <w:p w14:paraId="664E904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Нajмaњa пoвршинa грaђeвинскe пaрцeлe je 3000m², минимална ширина 30,0m, за веће парцеле нajмaњa ширина уличног фронта износи 50,0m.</w:t>
      </w:r>
    </w:p>
    <w:p w14:paraId="6F01A23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CBA3C68" w14:textId="19D0C362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Правила грађења</w:t>
      </w:r>
    </w:p>
    <w:p w14:paraId="7FAC1C7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8CC4A3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Дозвољена спратност и висина објеката у радној зони </w:t>
      </w:r>
    </w:p>
    <w:p w14:paraId="2048AD5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Највећа спратност објеката пословања, односно администрације је П+5 (приземље + пет спратова). </w:t>
      </w:r>
    </w:p>
    <w:p w14:paraId="1F2F09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Највећа спратност производних и помоћних објеката је П (приземље са галеријом, без подрума), изузетно П+1 (приземље и спрат), односно у складу са потребама технологије.</w:t>
      </w:r>
    </w:p>
    <w:p w14:paraId="6A7CCEC9" w14:textId="77777777" w:rsidR="00F728EC" w:rsidRPr="00F728EC" w:rsidRDefault="00F728EC" w:rsidP="00F728EC">
      <w:pPr>
        <w:pStyle w:val="Default"/>
        <w:rPr>
          <w:rFonts w:ascii="Times New Roman" w:hAnsi="Times New Roman"/>
          <w:i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>Вертикалном регулацијом одређује се и:</w:t>
      </w:r>
    </w:p>
    <w:p w14:paraId="5115D288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Cs/>
          <w:color w:val="000000" w:themeColor="text1"/>
          <w:lang w:val="sr-Cyrl-RS"/>
        </w:rPr>
        <w:t>Кота пода приземља за производне објекте на парцели су најмање 0,20m од коте дворишта односно у зависности од технолошко-техничких захтева производње. Кота пода помоћних објеката износи најмаље 0,20м.</w:t>
      </w:r>
    </w:p>
    <w:p w14:paraId="4D3A7942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</w:p>
    <w:p w14:paraId="574AA8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Максимални дозвољени индекс заузетости и индекс изграђености</w:t>
      </w:r>
    </w:p>
    <w:p w14:paraId="66257FD5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парцеле услужне и терцијарне делатности величине 3000м² и радне комплексе величине до 5hа индекс заузетости износи 75%,</w:t>
      </w:r>
    </w:p>
    <w:p w14:paraId="47A5ED63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5,0-10hа индекс заузетости износи највише 60%,</w:t>
      </w:r>
    </w:p>
    <w:p w14:paraId="4390D518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веће од 10hа индекс заузетости износи највише 50%.</w:t>
      </w:r>
    </w:p>
    <w:p w14:paraId="264BC34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39022A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за изградњу других објеката на истој грађевинској парцели у радним зонама</w:t>
      </w:r>
    </w:p>
    <w:p w14:paraId="0B8F78E1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Дозвољава се изградња другог објекта на парцели пратећих, помоћних, комуналних, инфраструктурних (разне оставе, складишта сировина или готових производа, алата и сл. који заједно са првим објектима представљају једну функционалну целину) уз исти степен заузетости. Дозвољава се изградња стамбеног објекта за смештај домара.</w:t>
      </w:r>
    </w:p>
    <w:p w14:paraId="1A1D196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964005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паркирања</w:t>
      </w:r>
    </w:p>
    <w:p w14:paraId="3C6F1D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За сваку грађевинску парцелу у оквиру радне зоне мора се обезбедити колски и пешачки прилаз. Колски прилаз парцели је ширине најмање 4,0m, а најмањи унутрашњи радијус кривине је 7,0m. Пешачки приступ је ширине најмање 1,5m. За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паркирање возила за сопствене потребе у оквиру грађевинске парцеле мора се обезбедити паркинг простор (за путничко возило најмање 2,5 x 5,0m а за теретно возило најмање 3,0 x 6,0m, односно у зависности од величине возила). </w:t>
      </w:r>
    </w:p>
    <w:p w14:paraId="0DD2FF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2A814D2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bCs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bCs/>
          <w:color w:val="000000" w:themeColor="text1"/>
          <w:lang w:val="sr-Cyrl-RS"/>
        </w:rPr>
        <w:t>Услови за ограђивање комплекса</w:t>
      </w:r>
    </w:p>
    <w:p w14:paraId="3533A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Грађевинске парцеле на којима се налазе индустријски објекти могу се ограђивати зиданом или транспаретном оградом висине до 2,20m. </w:t>
      </w:r>
    </w:p>
    <w:p w14:paraId="1AD6367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6F51AE6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Архитектонски услови</w:t>
      </w:r>
    </w:p>
    <w:p w14:paraId="2415B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морају бити пројектовани за конкретне намене, уз примену важећих стандарда, норматива, прописа, у ликовно-естетском изразу примерени средини насеља Шимановци, али и захтевима које поставља савремена архитектура, савремен начин живота, становања и рада. </w:t>
      </w:r>
    </w:p>
    <w:p w14:paraId="708B9BA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Могућа је примена монтажних објеката према фабричкој документацији у оквиру дозвољеног габарита и дозвољене спратности. За објекте већих димензија и сложеније намене обавезно је испитивање носивости тла, а на основу добијених резултата вршиће се статички прорачун, избор конструктивног система и фундирање. Сви објекти морају се прорачунати и конструисати на сеизмичке утицаје од 7° MCS скале. Отварање отвора на фасадама врши се на уличној и фасадама оријентисаним ка властитом дворишту.</w:t>
      </w:r>
    </w:p>
    <w:p w14:paraId="36DF6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Производни и пословни 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>се изводе од савремених и квалитетних материјала атестираних, прописане носивости, отпорности и без негативних дејстава. На производним објектима кровни покривач може бити са малим падовима (лим и сл. покривачи) а могућ је и раван кров.</w:t>
      </w:r>
    </w:p>
    <w:p w14:paraId="33F07B1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Помоћни објекти могу бити од скромнијих грађевинских материјала али прописане носивости, функционалности према намени и уз прописани естетски критеријум. Код помоћних објеката отварање на фасадама врши се према властитом дворишту према функционалном склопу. Кровови су двоводни покривени црепом а атмосферске воде се одводе у властито двориште. Сви објекти зависно од намене морају бити опремљени потребним инсталацијама, обавезно: водовод, септичка јама (до опремања насеља јавном канализацијом), електричном енергијом, док је гас и ТК по потреби инвеститора.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реализације.</w:t>
      </w:r>
    </w:p>
    <w:p w14:paraId="2BAF568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978131" w14:textId="260031A4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Положај објекта на парцели, регулациона и грађевинска линија</w:t>
      </w:r>
    </w:p>
    <w:p w14:paraId="4F43E9D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7B6F1AB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Лоцирање објеката у радним зонама ће зависити од успостављене функционале шеме и технолошког поступка. За сложене намене на парцелама, регулација ће се утврдити кроз израду плана разраде или УПР-а урбанистичко архитектонског решења.</w:t>
      </w:r>
    </w:p>
    <w:p w14:paraId="706212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Најмања удаљеност предње грађевинске линије је 6,0м од регулационе линије.</w:t>
      </w:r>
    </w:p>
    <w:p w14:paraId="577B7BEB" w14:textId="3079A8A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Бочне грађевинске линије одмичу се за 5,0m од суседних граница парцеле. Грађевинска линија се поставља на удаљености од најмање 8,0m од круне канала.</w:t>
      </w:r>
    </w:p>
    <w:p w14:paraId="3D0A46D5" w14:textId="02867018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4C3132" w14:textId="4BA7AFC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прикључења на инфраструктуру</w:t>
      </w:r>
    </w:p>
    <w:p w14:paraId="5C08208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ED3F0C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63C9863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3576C1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  </w:t>
      </w:r>
    </w:p>
    <w:p w14:paraId="7BD9FE2C" w14:textId="3534631B" w:rsidR="00F728EC" w:rsidRPr="00F728EC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lastRenderedPageBreak/>
        <w:t>Инжењерско-геолошки услови</w:t>
      </w:r>
    </w:p>
    <w:p w14:paraId="74F8E62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BA15B7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Шимановци, као и читава општина Пећинци, припадају зони са умереним степеном сеизмичности од 7</w:t>
      </w:r>
      <w:r w:rsidRPr="00F728EC">
        <w:rPr>
          <w:rFonts w:ascii="Times New Roman" w:hAnsi="Times New Roman"/>
          <w:color w:val="000000" w:themeColor="text1"/>
          <w:vertAlign w:val="superscript"/>
          <w:lang w:val="sr-Cyrl-RS"/>
        </w:rPr>
        <w:t>о</w:t>
      </w:r>
      <w:r w:rsidRPr="00F728EC">
        <w:rPr>
          <w:rFonts w:ascii="Times New Roman" w:hAnsi="Times New Roman"/>
          <w:color w:val="000000" w:themeColor="text1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483F28E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1191CB" w14:textId="6056F14F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 w:rsidRPr="0008535A">
        <w:rPr>
          <w:rFonts w:ascii="Times New Roman" w:hAnsi="Times New Roman"/>
          <w:b/>
          <w:color w:val="000000" w:themeColor="text1"/>
          <w:lang w:val="sr-Cyrl-RS"/>
        </w:rPr>
        <w:t>Даља урбанистичка разрада</w:t>
      </w:r>
    </w:p>
    <w:p w14:paraId="4F12EB1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3D1C3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Локације за које се обавезно ради урбанистички пројекат</w:t>
      </w:r>
    </w:p>
    <w:p w14:paraId="4136659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Урбанистички пројекат ће се израђивати за локације које имају дефинисану регулацију, али којима је услед планиране сложене намене или величине објекта, комплекса и парцеле потребно утврдити посебна правила за уређење и изградњу на парцели: </w:t>
      </w:r>
    </w:p>
    <w:p w14:paraId="5EE3D4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Пројекте са Листе I и II Уредбе о одређивању активности чије обављање утиче на животну средину; </w:t>
      </w:r>
    </w:p>
    <w:p w14:paraId="6552944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објекте на чију сагласност на техничку документацију у погледу мера заштите од пожара даје подручна јединица органа надлежног Министарства; </w:t>
      </w:r>
    </w:p>
    <w:p w14:paraId="2C0E8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потребна сагласност ЈП „Електромрежа Србије“; </w:t>
      </w:r>
    </w:p>
    <w:p w14:paraId="459989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зa објекте чија су правила уређења и грађења прописана другим прописима и стандардима (објекти социјалне заштите, објекти образовања и др.); </w:t>
      </w:r>
    </w:p>
    <w:p w14:paraId="2E3AD16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неопходна сагласност Завода за заштиту споменика културе Сремска Митровица; </w:t>
      </w:r>
    </w:p>
    <w:p w14:paraId="218020F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- за локације за које је неопходна сагласност Покрајинског завода за заштиту природе.</w:t>
      </w:r>
    </w:p>
    <w:p w14:paraId="4B7DF86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AE67BF" w14:textId="75649589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Ограничења</w:t>
      </w:r>
    </w:p>
    <w:p w14:paraId="4FCEE14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A63B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5A506EA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5AB2C8D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17CF28A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Обавезна израда урбанистичког пројекта условљена је уколико изградња објеката испуњава услове у тачки 10. Даља урбанистичка разрада ове информације о локацији.</w:t>
      </w:r>
    </w:p>
    <w:p w14:paraId="35F3742A" w14:textId="069DD1A7" w:rsidR="00F728EC" w:rsidRPr="00055D5B" w:rsidRDefault="00F728EC" w:rsidP="00F728EC">
      <w:pPr>
        <w:pStyle w:val="Default"/>
        <w:rPr>
          <w:rFonts w:ascii="Times New Roman" w:hAnsi="Times New Roman"/>
          <w:color w:val="000000" w:themeColor="text1"/>
        </w:rPr>
      </w:pPr>
      <w:r w:rsidRPr="00F728EC">
        <w:rPr>
          <w:rFonts w:ascii="Times New Roman" w:hAnsi="Times New Roman"/>
          <w:color w:val="000000" w:themeColor="text1"/>
        </w:rPr>
        <w:t>За све производне, прерађивачке, складишне и друге садржаје који могу негативно утицати на стање животне средине, неопходна је израда Студије о процени утицаја објеката на животну средину.</w:t>
      </w:r>
    </w:p>
    <w:p w14:paraId="57BC464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u w:val="single"/>
          <w:lang w:val="sr-Cyrl-RS"/>
        </w:rPr>
      </w:pPr>
    </w:p>
    <w:p w14:paraId="6CE14A9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u w:val="single"/>
          <w:lang w:val="sr-Cyrl-RS"/>
        </w:rPr>
        <w:t>Напомена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: </w:t>
      </w:r>
    </w:p>
    <w:p w14:paraId="19F673A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Ова информација о локацији није основ за издавање грађевинске дозволе.</w:t>
      </w:r>
    </w:p>
    <w:p w14:paraId="1EC03C9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6908A5F" w14:textId="77777777" w:rsidR="00F6557D" w:rsidRPr="006C1444" w:rsidRDefault="00F6557D" w:rsidP="00F6557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</w:p>
    <w:p w14:paraId="207D048C" w14:textId="77777777" w:rsidR="00E240DE" w:rsidRPr="00214E25" w:rsidRDefault="00E240DE" w:rsidP="00F655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F6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1167DF88" w:rsidR="00B726E5" w:rsidRPr="00214E25" w:rsidRDefault="00983A12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252B4">
        <w:rPr>
          <w:rFonts w:ascii="Times New Roman" w:hAnsi="Times New Roman"/>
          <w:sz w:val="24"/>
          <w:szCs w:val="24"/>
          <w:lang w:val="sr-Cyrl-RS"/>
        </w:rPr>
        <w:t>2.</w:t>
      </w:r>
      <w:r w:rsidR="007413BB" w:rsidRPr="005252B4">
        <w:rPr>
          <w:rFonts w:ascii="Times New Roman" w:hAnsi="Times New Roman"/>
          <w:sz w:val="24"/>
          <w:szCs w:val="24"/>
          <w:lang w:val="sr-Cyrl-RS"/>
        </w:rPr>
        <w:t>36</w:t>
      </w:r>
      <w:r w:rsidR="009C3BE0" w:rsidRPr="005252B4">
        <w:rPr>
          <w:rFonts w:ascii="Times New Roman" w:hAnsi="Times New Roman"/>
          <w:sz w:val="24"/>
          <w:szCs w:val="24"/>
        </w:rPr>
        <w:t>0</w:t>
      </w:r>
      <w:r w:rsidRPr="005252B4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5252B4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252B4">
        <w:rPr>
          <w:rFonts w:ascii="Times New Roman" w:hAnsi="Times New Roman"/>
          <w:b/>
          <w:sz w:val="24"/>
          <w:szCs w:val="24"/>
        </w:rPr>
        <w:t>19.779.160</w:t>
      </w:r>
      <w:r w:rsidR="00BA6B4D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16F1430E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5252B4">
        <w:rPr>
          <w:rFonts w:ascii="Times New Roman" w:hAnsi="Times New Roman"/>
          <w:sz w:val="24"/>
          <w:szCs w:val="24"/>
          <w:lang w:val="sr-Cyrl-RS"/>
        </w:rPr>
        <w:t>деветнаестмилионаседамстотинаседамдесетдеветхиљадастотинушездесетдинара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733786C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5252B4">
        <w:rPr>
          <w:rFonts w:ascii="Times New Roman" w:hAnsi="Times New Roman"/>
          <w:b/>
          <w:sz w:val="24"/>
          <w:szCs w:val="24"/>
          <w:lang w:val="sr-Cyrl-CS"/>
        </w:rPr>
        <w:t>1.977.916,</w:t>
      </w:r>
      <w:r w:rsidR="00BA6B4D">
        <w:rPr>
          <w:rFonts w:ascii="Times New Roman" w:hAnsi="Times New Roman"/>
          <w:b/>
          <w:sz w:val="24"/>
          <w:szCs w:val="24"/>
          <w:lang w:val="sr-Cyrl-CS"/>
        </w:rPr>
        <w:t>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5252B4">
        <w:rPr>
          <w:rFonts w:ascii="Times New Roman" w:hAnsi="Times New Roman"/>
          <w:sz w:val="24"/>
          <w:szCs w:val="24"/>
          <w:lang w:val="sr-Cyrl-CS"/>
        </w:rPr>
        <w:t>милиондеветстотинаседамдесетседамхиљададеветстотинашеснаестдинара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5C1C2FE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A35F7E">
        <w:rPr>
          <w:rFonts w:ascii="Times New Roman" w:hAnsi="Times New Roman"/>
          <w:sz w:val="24"/>
          <w:szCs w:val="24"/>
        </w:rPr>
        <w:t>15.</w:t>
      </w:r>
      <w:r w:rsidR="00BA6B4D">
        <w:rPr>
          <w:rFonts w:ascii="Times New Roman" w:hAnsi="Times New Roman"/>
          <w:sz w:val="24"/>
          <w:szCs w:val="24"/>
          <w:lang w:val="ru-RU"/>
        </w:rPr>
        <w:t>1</w:t>
      </w:r>
      <w:r w:rsidR="005252B4">
        <w:rPr>
          <w:rFonts w:ascii="Times New Roman" w:hAnsi="Times New Roman"/>
          <w:sz w:val="24"/>
          <w:szCs w:val="24"/>
          <w:lang w:val="ru-RU"/>
        </w:rPr>
        <w:t>2</w:t>
      </w:r>
      <w:r w:rsidR="00BA6B4D">
        <w:rPr>
          <w:rFonts w:ascii="Times New Roman" w:hAnsi="Times New Roman"/>
          <w:sz w:val="24"/>
          <w:szCs w:val="24"/>
          <w:lang w:val="ru-RU"/>
        </w:rPr>
        <w:t>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7687288D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BA6B4D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A35F7E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BA6B4D">
        <w:rPr>
          <w:rFonts w:ascii="Times New Roman" w:hAnsi="Times New Roman"/>
          <w:b/>
          <w:sz w:val="24"/>
          <w:szCs w:val="24"/>
          <w:lang w:val="sr-Cyrl-CS"/>
        </w:rPr>
        <w:t>.1</w:t>
      </w:r>
      <w:r w:rsidR="005252B4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9895" w14:textId="77777777" w:rsidR="00364D50" w:rsidRDefault="00364D50">
      <w:pPr>
        <w:spacing w:after="0" w:line="240" w:lineRule="auto"/>
      </w:pPr>
      <w:r>
        <w:separator/>
      </w:r>
    </w:p>
  </w:endnote>
  <w:endnote w:type="continuationSeparator" w:id="0">
    <w:p w14:paraId="23F475C4" w14:textId="77777777" w:rsidR="00364D50" w:rsidRDefault="003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2ACE1C0E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A35F7E">
      <w:rPr>
        <w:rFonts w:ascii="Times New Roman" w:hAnsi="Times New Roman"/>
        <w:noProof/>
      </w:rPr>
      <w:t>2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CB53" w14:textId="77777777" w:rsidR="00364D50" w:rsidRDefault="00364D50">
      <w:pPr>
        <w:spacing w:after="0" w:line="240" w:lineRule="auto"/>
      </w:pPr>
      <w:r>
        <w:separator/>
      </w:r>
    </w:p>
  </w:footnote>
  <w:footnote w:type="continuationSeparator" w:id="0">
    <w:p w14:paraId="329BDFBB" w14:textId="77777777" w:rsidR="00364D50" w:rsidRDefault="0036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554E8"/>
    <w:rsid w:val="00055D5B"/>
    <w:rsid w:val="000571D8"/>
    <w:rsid w:val="00061557"/>
    <w:rsid w:val="0008535A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B6CFB"/>
    <w:rsid w:val="002C6E1A"/>
    <w:rsid w:val="002E09FF"/>
    <w:rsid w:val="002F6D07"/>
    <w:rsid w:val="00306B56"/>
    <w:rsid w:val="0031530F"/>
    <w:rsid w:val="00322863"/>
    <w:rsid w:val="00336225"/>
    <w:rsid w:val="00340804"/>
    <w:rsid w:val="00364D50"/>
    <w:rsid w:val="003B1527"/>
    <w:rsid w:val="003B43D2"/>
    <w:rsid w:val="003F10F5"/>
    <w:rsid w:val="003F28CE"/>
    <w:rsid w:val="00453422"/>
    <w:rsid w:val="00462095"/>
    <w:rsid w:val="004859D6"/>
    <w:rsid w:val="004C5763"/>
    <w:rsid w:val="004F0C30"/>
    <w:rsid w:val="005252B4"/>
    <w:rsid w:val="0053119B"/>
    <w:rsid w:val="00594C3B"/>
    <w:rsid w:val="005B4C47"/>
    <w:rsid w:val="005C4292"/>
    <w:rsid w:val="0062152B"/>
    <w:rsid w:val="006858CE"/>
    <w:rsid w:val="006C1444"/>
    <w:rsid w:val="006D6E0B"/>
    <w:rsid w:val="007413BB"/>
    <w:rsid w:val="00742672"/>
    <w:rsid w:val="00746E08"/>
    <w:rsid w:val="0080141F"/>
    <w:rsid w:val="00834020"/>
    <w:rsid w:val="00896011"/>
    <w:rsid w:val="00896478"/>
    <w:rsid w:val="008C0A0F"/>
    <w:rsid w:val="008C4BDE"/>
    <w:rsid w:val="00983A12"/>
    <w:rsid w:val="009A5404"/>
    <w:rsid w:val="009A7980"/>
    <w:rsid w:val="009C3BE0"/>
    <w:rsid w:val="009C3CBB"/>
    <w:rsid w:val="009C49D7"/>
    <w:rsid w:val="00A034F7"/>
    <w:rsid w:val="00A31348"/>
    <w:rsid w:val="00A35F7E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6135"/>
    <w:rsid w:val="00B726E5"/>
    <w:rsid w:val="00BA6B4D"/>
    <w:rsid w:val="00BB3350"/>
    <w:rsid w:val="00BC5181"/>
    <w:rsid w:val="00BD6C37"/>
    <w:rsid w:val="00C13A2C"/>
    <w:rsid w:val="00C514FE"/>
    <w:rsid w:val="00C550BB"/>
    <w:rsid w:val="00C63F9A"/>
    <w:rsid w:val="00C87784"/>
    <w:rsid w:val="00CB2D21"/>
    <w:rsid w:val="00CD6738"/>
    <w:rsid w:val="00D078DD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A576B"/>
    <w:rsid w:val="00EB7B80"/>
    <w:rsid w:val="00EC2DA3"/>
    <w:rsid w:val="00F13754"/>
    <w:rsid w:val="00F61D23"/>
    <w:rsid w:val="00F6557D"/>
    <w:rsid w:val="00F728EC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7E90-72D3-42BA-99A6-3234411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25</cp:revision>
  <cp:lastPrinted>2021-02-24T07:31:00Z</cp:lastPrinted>
  <dcterms:created xsi:type="dcterms:W3CDTF">2021-02-23T12:59:00Z</dcterms:created>
  <dcterms:modified xsi:type="dcterms:W3CDTF">2021-11-08T10:41:00Z</dcterms:modified>
</cp:coreProperties>
</file>