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7FC2D285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2B4BF7">
        <w:rPr>
          <w:rFonts w:ascii="Times New Roman" w:hAnsi="Times New Roman"/>
          <w:b/>
          <w:sz w:val="24"/>
          <w:szCs w:val="24"/>
          <w:lang w:val="sr-Cyrl-RS"/>
        </w:rPr>
        <w:t>24.05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.2021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4DB87B9D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AA5F4B">
        <w:rPr>
          <w:rFonts w:ascii="Times New Roman" w:hAnsi="Times New Roman"/>
          <w:b/>
          <w:sz w:val="24"/>
          <w:szCs w:val="24"/>
        </w:rPr>
        <w:t>97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35D5998B" w:rsidR="00B726E5" w:rsidRPr="00214E25" w:rsidRDefault="002B4BF7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ДРУГИ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3E839089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земљишта у грађевинском подручју,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у јавној својини општине Пећинци у КО Шимановци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1A53E473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Pr="00214E25">
        <w:rPr>
          <w:rFonts w:ascii="Times New Roman" w:hAnsi="Times New Roman"/>
          <w:sz w:val="24"/>
          <w:szCs w:val="24"/>
          <w:lang w:val="ru-RU"/>
        </w:rPr>
        <w:t xml:space="preserve">2035 </w:t>
      </w:r>
      <w:r w:rsidRPr="00214E25">
        <w:rPr>
          <w:rFonts w:ascii="Times New Roman" w:hAnsi="Times New Roman"/>
          <w:sz w:val="24"/>
          <w:szCs w:val="24"/>
          <w:lang w:val="sr-Cyrl-CS"/>
        </w:rPr>
        <w:t>КО Шимановци,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AEF170D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14050D">
        <w:rPr>
          <w:rFonts w:ascii="Times New Roman" w:hAnsi="Times New Roman"/>
          <w:b/>
          <w:sz w:val="24"/>
          <w:szCs w:val="24"/>
        </w:rPr>
        <w:t>1961</w:t>
      </w:r>
      <w:r w:rsidR="002E09FF" w:rsidRPr="00214E25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AA5F4B">
        <w:rPr>
          <w:rFonts w:ascii="Times New Roman" w:hAnsi="Times New Roman"/>
          <w:b/>
          <w:sz w:val="24"/>
          <w:szCs w:val="24"/>
        </w:rPr>
        <w:t>16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2E09FF" w:rsidRPr="00214E25">
        <w:rPr>
          <w:rFonts w:ascii="Times New Roman" w:hAnsi="Times New Roman"/>
          <w:b/>
          <w:sz w:val="24"/>
          <w:szCs w:val="24"/>
          <w:lang w:val="sr-Cyrl-CS"/>
        </w:rPr>
        <w:t>земљиште у грађевинском подручју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њива 4.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AA5F4B">
        <w:rPr>
          <w:rFonts w:ascii="Times New Roman" w:hAnsi="Times New Roman"/>
          <w:b/>
          <w:sz w:val="24"/>
          <w:szCs w:val="24"/>
          <w:lang w:val="sr-Cyrl-RS"/>
        </w:rPr>
        <w:t>994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њива 5. класе, површине 3214 м</w:t>
      </w:r>
      <w:r w:rsidR="00AA5F4B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 xml:space="preserve">2 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у 1/1 </w:t>
      </w:r>
      <w:r w:rsidR="00C514FE">
        <w:rPr>
          <w:rFonts w:ascii="Times New Roman" w:hAnsi="Times New Roman"/>
          <w:b/>
          <w:sz w:val="24"/>
          <w:szCs w:val="24"/>
          <w:lang w:val="sr-Cyrl-CS"/>
        </w:rPr>
        <w:t>делова; укупне површине 4208 м</w:t>
      </w:r>
      <w:r w:rsidR="00C514FE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>2</w:t>
      </w:r>
      <w:r w:rsidR="00C514FE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2ED8BC8" w14:textId="77777777" w:rsidR="00E42E98" w:rsidRPr="00214E25" w:rsidRDefault="00E42E98" w:rsidP="00E42E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4DBA34B" w14:textId="3B985F3F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72B1EC" w14:textId="20D1C4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Плански документ</w:t>
      </w:r>
    </w:p>
    <w:p w14:paraId="24207511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>Информација о локацији издаје се на основу Плана генералне регулације насеља Шимановци („Сл. лист општина Срема“, бр. 31/15, 1/18 и 28/20).</w:t>
      </w:r>
    </w:p>
    <w:p w14:paraId="0C37C7D9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52FA8BEC" w14:textId="2D9C6D1C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Целине и зоне</w:t>
      </w:r>
    </w:p>
    <w:p w14:paraId="70D6D07F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 xml:space="preserve">Предметна катастарска парцела број 1961/16 К.О.Шимановци налази се у грађевинском подручју насеља Шимановци блок Б-1-2, у радној зони. </w:t>
      </w:r>
    </w:p>
    <w:p w14:paraId="7C098A53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150C8B77" w14:textId="532298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Намена земљишта</w:t>
      </w:r>
    </w:p>
    <w:p w14:paraId="1D4F0AB5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C3BE0">
        <w:rPr>
          <w:rFonts w:ascii="Times New Roman" w:hAnsi="Times New Roman"/>
          <w:b/>
          <w:sz w:val="24"/>
          <w:szCs w:val="24"/>
          <w:lang w:val="sr-Cyrl-RS"/>
        </w:rPr>
        <w:t>Радна зона</w:t>
      </w:r>
    </w:p>
    <w:p w14:paraId="7C5A7740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На парцелама радне зоне могућа је изградња објеката привреде већих капацитета и то: </w:t>
      </w:r>
    </w:p>
    <w:p w14:paraId="359DC69D" w14:textId="77777777" w:rsidR="009C3BE0" w:rsidRPr="009C3BE0" w:rsidRDefault="009C3BE0" w:rsidP="009C3BE0">
      <w:pPr>
        <w:pStyle w:val="Default"/>
        <w:spacing w:after="26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</w:t>
      </w:r>
      <w:r w:rsidRPr="009C3BE0">
        <w:rPr>
          <w:rFonts w:ascii="Times New Roman" w:hAnsi="Times New Roman" w:cs="Times New Roman"/>
          <w:bCs/>
          <w:color w:val="auto"/>
          <w:lang w:val="sr-Cyrl-RS"/>
        </w:rPr>
        <w:t>изградња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производних комплекса секундарних и терцијерних делатности где су </w:t>
      </w:r>
      <w:r w:rsidRPr="009C3BE0">
        <w:rPr>
          <w:rFonts w:ascii="Times New Roman" w:hAnsi="Times New Roman" w:cs="Times New Roman"/>
          <w:bCs/>
          <w:color w:val="auto"/>
          <w:lang w:val="sr-Cyrl-RS"/>
        </w:rPr>
        <w:t>сви објекти производни у функцији технолошког поступка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који се одвија на парцели (помоћни објекти и отворени простори су у функцији производних објеката). Целокупна делатност мора да се одвија на властитој парцели; </w:t>
      </w:r>
    </w:p>
    <w:p w14:paraId="00D95253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 </w:t>
      </w:r>
      <w:r w:rsidRPr="009C3BE0">
        <w:rPr>
          <w:rFonts w:ascii="Times New Roman" w:hAnsi="Times New Roman" w:cs="Times New Roman"/>
          <w:bCs/>
          <w:color w:val="auto"/>
          <w:lang w:val="sr-Cyrl-RS"/>
        </w:rPr>
        <w:t>У овим зонама могуће је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да се формирају и </w:t>
      </w:r>
      <w:r w:rsidRPr="009C3BE0">
        <w:rPr>
          <w:rFonts w:ascii="Times New Roman" w:hAnsi="Times New Roman" w:cs="Times New Roman"/>
          <w:bCs/>
          <w:color w:val="auto"/>
          <w:lang w:val="sr-Cyrl-RS"/>
        </w:rPr>
        <w:t>парцеле специфичних намена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из области услуга, </w:t>
      </w:r>
      <w:r w:rsidRPr="009C3BE0">
        <w:rPr>
          <w:rFonts w:ascii="Times New Roman" w:hAnsi="Times New Roman" w:cs="Times New Roman"/>
          <w:iCs/>
          <w:color w:val="auto"/>
          <w:lang w:val="sr-Cyrl-RS"/>
        </w:rPr>
        <w:t>нпр</w:t>
      </w:r>
      <w:r w:rsidRPr="009C3BE0">
        <w:rPr>
          <w:rFonts w:ascii="Times New Roman" w:hAnsi="Times New Roman" w:cs="Times New Roman"/>
          <w:i/>
          <w:iCs/>
          <w:color w:val="auto"/>
          <w:lang w:val="sr-Cyrl-RS"/>
        </w:rPr>
        <w:t xml:space="preserve">. </w:t>
      </w:r>
      <w:r w:rsidRPr="009C3BE0">
        <w:rPr>
          <w:rFonts w:ascii="Times New Roman" w:hAnsi="Times New Roman" w:cs="Times New Roman"/>
          <w:color w:val="auto"/>
          <w:lang w:val="sr-Cyrl-RS"/>
        </w:rPr>
        <w:t>неких нетипичних делатности, мале привреде, бензинских станица, или за изградњу хотелских капацитета, пре свега пословних хотела са потребним врстама просторија прописаним за одређене категорије хотела.</w:t>
      </w:r>
    </w:p>
    <w:p w14:paraId="2C37F319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 У </w:t>
      </w:r>
      <w:r w:rsidRPr="009C3BE0">
        <w:rPr>
          <w:rFonts w:ascii="Times New Roman" w:hAnsi="Times New Roman" w:cs="Times New Roman"/>
          <w:bCs/>
          <w:color w:val="auto"/>
          <w:lang w:val="sr-Cyrl-RS"/>
        </w:rPr>
        <w:t>радним зонама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лоцираће се објекти за делатности које захтевају веће просторе и које негативно утичу на околину: привредни, складишни, услужни и слични објекти.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</w:t>
      </w:r>
      <w:r w:rsidRPr="009C3BE0">
        <w:rPr>
          <w:rFonts w:ascii="Times New Roman" w:hAnsi="Times New Roman" w:cs="Times New Roman"/>
          <w:color w:val="auto"/>
          <w:lang w:val="sr-Cyrl-RS"/>
        </w:rPr>
        <w:lastRenderedPageBreak/>
        <w:t xml:space="preserve">генералне регулације предвиђено да се део парцеле ангажује за јавно земљиште. У неким деловима радне зоне могу се реализовати и урбанистичким пројектима урбанистичко -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ширине. </w:t>
      </w:r>
    </w:p>
    <w:p w14:paraId="7975E1B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На основу Плана генералне регулације код постојећих комплекса могућа је изградња, доградња и реконструкција у функцији основне намене и то као завршетак започетих целина. </w:t>
      </w:r>
    </w:p>
    <w:p w14:paraId="3A613ACE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Код промене намене постојећих комплекса (технолошког процеса) обавезна је израда урбанистичког пројекта.</w:t>
      </w:r>
    </w:p>
    <w:p w14:paraId="3F19C2B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A506E3A" w14:textId="4E4D1ACD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парцелације и препарцелације</w:t>
      </w:r>
    </w:p>
    <w:p w14:paraId="5AA18F4B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>Услови за формирање грађевинске парцеле у радној зони</w:t>
      </w:r>
    </w:p>
    <w:p w14:paraId="0303237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Нajмaњa пoвршинa грaђeвинскe пaрцeлe je 3000m², минимална ширина 30,0m, за веће парцеле нajмaњa ширина уличног фронта износи 50,0m.</w:t>
      </w:r>
    </w:p>
    <w:p w14:paraId="2A7533D3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6D51EF15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На основу подтачке 2.4., Највећи дозвољени индекси заузетости и изграђености грађевинске парцеле, у појединим зонама извршене су категоризације грађевинских парцела на основу чега се за веће парцеле сматрају грађевинске парцеле чија је површина изнад 5</w:t>
      </w:r>
      <w:r w:rsidRPr="009C3BE0">
        <w:rPr>
          <w:rFonts w:ascii="Times New Roman" w:hAnsi="Times New Roman" w:cs="Times New Roman"/>
          <w:color w:val="auto"/>
        </w:rPr>
        <w:t>ha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 и са најмањом ширином уличног фронта од 50,0m.</w:t>
      </w:r>
    </w:p>
    <w:p w14:paraId="7B4DE9C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770E0F3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Свака постојећа парцела може постати грађевинска парцела уз испуњавање претходно наведених услова из ПГР:</w:t>
      </w:r>
    </w:p>
    <w:p w14:paraId="7169C8E7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врста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BE0">
        <w:rPr>
          <w:rFonts w:ascii="Times New Roman" w:hAnsi="Times New Roman"/>
          <w:sz w:val="24"/>
          <w:szCs w:val="24"/>
        </w:rPr>
        <w:t>намена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који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се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могу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градити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C3BE0">
        <w:rPr>
          <w:rFonts w:ascii="Times New Roman" w:hAnsi="Times New Roman"/>
          <w:sz w:val="24"/>
          <w:szCs w:val="24"/>
        </w:rPr>
        <w:t>појединачним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зонама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BE0">
        <w:rPr>
          <w:rFonts w:ascii="Times New Roman" w:hAnsi="Times New Roman"/>
          <w:sz w:val="24"/>
          <w:szCs w:val="24"/>
        </w:rPr>
        <w:t>врста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BE0">
        <w:rPr>
          <w:rFonts w:ascii="Times New Roman" w:hAnsi="Times New Roman"/>
          <w:sz w:val="24"/>
          <w:szCs w:val="24"/>
        </w:rPr>
        <w:t>намена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чија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је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изградња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забрањена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C3BE0">
        <w:rPr>
          <w:rFonts w:ascii="Times New Roman" w:hAnsi="Times New Roman"/>
          <w:sz w:val="24"/>
          <w:szCs w:val="24"/>
        </w:rPr>
        <w:t>датим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зонама</w:t>
      </w:r>
      <w:proofErr w:type="spellEnd"/>
    </w:p>
    <w:p w14:paraId="024D3ABC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положај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објекта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C3BE0">
        <w:rPr>
          <w:rFonts w:ascii="Times New Roman" w:hAnsi="Times New Roman"/>
          <w:sz w:val="24"/>
          <w:szCs w:val="24"/>
        </w:rPr>
        <w:t>односу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на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регулацију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9C3BE0">
        <w:rPr>
          <w:rFonts w:ascii="Times New Roman" w:hAnsi="Times New Roman"/>
          <w:sz w:val="24"/>
          <w:szCs w:val="24"/>
        </w:rPr>
        <w:t>односу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на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грађевинске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линије</w:t>
      </w:r>
      <w:proofErr w:type="spellEnd"/>
    </w:p>
    <w:p w14:paraId="67D2F8AA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највећи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дозвољени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индекси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заузетости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BE0">
        <w:rPr>
          <w:rFonts w:ascii="Times New Roman" w:hAnsi="Times New Roman"/>
          <w:sz w:val="24"/>
          <w:szCs w:val="24"/>
        </w:rPr>
        <w:t>изграђености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грађевинске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парцеле</w:t>
      </w:r>
      <w:proofErr w:type="spellEnd"/>
    </w:p>
    <w:p w14:paraId="239A7EB5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највећа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дозвољена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висина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BE0">
        <w:rPr>
          <w:rFonts w:ascii="Times New Roman" w:hAnsi="Times New Roman"/>
          <w:sz w:val="24"/>
          <w:szCs w:val="24"/>
        </w:rPr>
        <w:t>спратност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објекта</w:t>
      </w:r>
      <w:proofErr w:type="spellEnd"/>
    </w:p>
    <w:p w14:paraId="78FBB447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најмања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дозвољена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међусобна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удаљеност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BE0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од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граница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парцеле</w:t>
      </w:r>
      <w:proofErr w:type="spellEnd"/>
    </w:p>
    <w:p w14:paraId="6B3FEF6B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услови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за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других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на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истој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грађевинској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парцели</w:t>
      </w:r>
      <w:proofErr w:type="spellEnd"/>
    </w:p>
    <w:p w14:paraId="0ED0BDCE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услови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заштите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суседних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објеката</w:t>
      </w:r>
      <w:proofErr w:type="spellEnd"/>
    </w:p>
    <w:p w14:paraId="790E4AE5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архитектонски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услови</w:t>
      </w:r>
      <w:proofErr w:type="spellEnd"/>
    </w:p>
    <w:p w14:paraId="345C22D6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услови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за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обнову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BE0">
        <w:rPr>
          <w:rFonts w:ascii="Times New Roman" w:hAnsi="Times New Roman"/>
          <w:sz w:val="24"/>
          <w:szCs w:val="24"/>
        </w:rPr>
        <w:t>реконструкцију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објеката</w:t>
      </w:r>
      <w:proofErr w:type="spellEnd"/>
    </w:p>
    <w:p w14:paraId="4DB13818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услови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BE0">
        <w:rPr>
          <w:rFonts w:ascii="Times New Roman" w:hAnsi="Times New Roman"/>
          <w:sz w:val="24"/>
          <w:szCs w:val="24"/>
        </w:rPr>
        <w:t>начин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обезбеђења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приступа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парцели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BE0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за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паркирање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возила</w:t>
      </w:r>
      <w:proofErr w:type="spellEnd"/>
      <w:r w:rsidRPr="009C3BE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2C1CE15" w14:textId="77777777" w:rsidR="009C3BE0" w:rsidRPr="009C3BE0" w:rsidRDefault="009C3BE0" w:rsidP="009C3BE0">
      <w:pPr>
        <w:numPr>
          <w:ilvl w:val="0"/>
          <w:numId w:val="13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BE0">
        <w:rPr>
          <w:rFonts w:ascii="Times New Roman" w:hAnsi="Times New Roman"/>
          <w:sz w:val="24"/>
          <w:szCs w:val="24"/>
        </w:rPr>
        <w:t>услови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за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ограђивање</w:t>
      </w:r>
      <w:proofErr w:type="spellEnd"/>
      <w:r w:rsidRPr="009C3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BE0">
        <w:rPr>
          <w:rFonts w:ascii="Times New Roman" w:hAnsi="Times New Roman"/>
          <w:sz w:val="24"/>
          <w:szCs w:val="24"/>
        </w:rPr>
        <w:t>комплекса</w:t>
      </w:r>
      <w:proofErr w:type="spellEnd"/>
    </w:p>
    <w:p w14:paraId="000BBB8C" w14:textId="77777777" w:rsidR="009C3BE0" w:rsidRPr="009C3BE0" w:rsidRDefault="009C3BE0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D269B03" w14:textId="349194A4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Правила грађења</w:t>
      </w:r>
    </w:p>
    <w:p w14:paraId="2D15A1E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Дозвољена спратност и висина објеката у радној зони </w:t>
      </w:r>
    </w:p>
    <w:p w14:paraId="31F1CE6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Највећа спратност објеката пословања, односно администрације је П+5 (приземље + пет спратова). </w:t>
      </w:r>
    </w:p>
    <w:p w14:paraId="2488F075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Највећа спратност производних и помоћних објеката је П (приземље са галеријом, без подрума), изузетно П+1 (приземље и спрат), односно у складу са потребама технологије.</w:t>
      </w:r>
    </w:p>
    <w:p w14:paraId="347D8F92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auto"/>
          <w:lang w:val="sr-Cyrl-RS"/>
        </w:rPr>
      </w:pPr>
      <w:r w:rsidRPr="009C3BE0">
        <w:rPr>
          <w:rFonts w:ascii="Times New Roman" w:hAnsi="Times New Roman" w:cs="Times New Roman"/>
          <w:i/>
          <w:iCs/>
          <w:color w:val="auto"/>
          <w:lang w:val="sr-Cyrl-RS"/>
        </w:rPr>
        <w:t>Вертикалном регулацијом одређује се и:</w:t>
      </w:r>
    </w:p>
    <w:p w14:paraId="4FF9B06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iCs/>
          <w:color w:val="auto"/>
          <w:lang w:val="sr-Cyrl-RS"/>
        </w:rPr>
      </w:pPr>
      <w:r w:rsidRPr="009C3BE0">
        <w:rPr>
          <w:rFonts w:ascii="Times New Roman" w:hAnsi="Times New Roman" w:cs="Times New Roman"/>
          <w:iCs/>
          <w:color w:val="auto"/>
          <w:lang w:val="sr-Cyrl-RS"/>
        </w:rPr>
        <w:t>Кота пода приземља за производне објекте на парцели су најмање 0,20m од коте дворишта односно у зависности од технолошко-техничких захтева производње. Кота пода помоћних објеката износи најмаље 0,20м.</w:t>
      </w:r>
    </w:p>
    <w:p w14:paraId="38F21E0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>Максимални дозвољени индекс заузетости и индекс изграђености</w:t>
      </w:r>
    </w:p>
    <w:p w14:paraId="3B763FD1" w14:textId="77777777" w:rsidR="009C3BE0" w:rsidRPr="009C3BE0" w:rsidRDefault="009C3BE0" w:rsidP="009C3BE0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lastRenderedPageBreak/>
        <w:t>за парцеле услужне и терцијарне делатности величине 3000м² и радне комплексе величине до 5hа индекс заузетости износи 75%,</w:t>
      </w:r>
    </w:p>
    <w:p w14:paraId="427B0FE4" w14:textId="77777777" w:rsidR="009C3BE0" w:rsidRPr="009C3BE0" w:rsidRDefault="009C3BE0" w:rsidP="009C3BE0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за радне комплексе површине 5,0-10hа индекс заузетости износи највише 60%,</w:t>
      </w:r>
    </w:p>
    <w:p w14:paraId="061D64F0" w14:textId="77777777" w:rsidR="009C3BE0" w:rsidRPr="009C3BE0" w:rsidRDefault="009C3BE0" w:rsidP="009C3BE0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за радне комплексе површине веће од 10hа индекс заузетости износи највише 50%.</w:t>
      </w:r>
    </w:p>
    <w:p w14:paraId="30B60D20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>Услови за изградњу других објеката на истој грађевинској парцели у радним зонама</w:t>
      </w:r>
    </w:p>
    <w:p w14:paraId="5322587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Дозвољава се изградња другог објекта на парцели пратећих, помоћних, комуналних, инфраструктурних (разне оставе, складишта сировина или готових производа, алата и сл. који заједно са првим објектима представљају једну функционалну целину) уз исти степен заузетости. Дозвољава се изградња стамбеног објекта за смештај домара.</w:t>
      </w:r>
    </w:p>
    <w:p w14:paraId="67A8D73F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>Услови паркирања</w:t>
      </w:r>
    </w:p>
    <w:p w14:paraId="53567C0E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За сваку грађевинску парцелу у оквиру радне зоне мора се обезбедити колски и пешачки прилаз. Колски прилаз парцели је ширине најмање 4,0m, а најмањи унутрашњи радијус кривине је 7,0m. Пешачки приступ је ширине најмање 1,5m. За паркирање возила за сопствене потребе у оквиру грађевинске парцеле мора се обезбедити паркинг простор (за путничко возило најмање 2,5 x 5,0m а за теретно возило најмање 3,0 x 6,0m, односно у зависности од величине возила). </w:t>
      </w:r>
    </w:p>
    <w:p w14:paraId="37E1FBB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>Услови за ограђивање комплекса</w:t>
      </w:r>
    </w:p>
    <w:p w14:paraId="7382015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Грађевинске парцеле на којима се налазе индустријски објекти могу се ограђивати зиданом или транспаретном оградом висине до 2,20m. </w:t>
      </w:r>
    </w:p>
    <w:p w14:paraId="5D79E4A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>Архитектонски услови</w:t>
      </w:r>
    </w:p>
    <w:p w14:paraId="2845E5A9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Cs/>
          <w:color w:val="auto"/>
          <w:lang w:val="sr-Cyrl-RS"/>
        </w:rPr>
        <w:t>Објекти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 xml:space="preserve">морају бити пројектовани за конкретне намене, уз примену важећих стандарда, норматива, прописа, у ликовно-естетском изразу примерени средини насеља Шимановци, али и захтевима које поставља савремена архитектура, савремен начин живота, становања и рада. </w:t>
      </w:r>
    </w:p>
    <w:p w14:paraId="1C885C10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Могућа је примена монтажних објеката према фабричкој документацији у оквиру дозвољеног габарита и дозвољене спратности. За објекте већих димензија и сложеније намене обавезно је испитивање носивости тла, а на основу добијених резултата вршиће се статички прорачун, избор конструктивног система и фундирање. Сви објекти морају се прорачунати и конструисати на сеизмичке утицаје од 7° MCS скале. Отварање отвора на фасадама врши се на уличној и фасадама оријентисаним ка властитом дворишту.</w:t>
      </w:r>
    </w:p>
    <w:p w14:paraId="3640993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Cs/>
          <w:color w:val="auto"/>
          <w:lang w:val="sr-Cyrl-RS"/>
        </w:rPr>
        <w:t>Производни и пословни објекти</w:t>
      </w: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9C3BE0">
        <w:rPr>
          <w:rFonts w:ascii="Times New Roman" w:hAnsi="Times New Roman" w:cs="Times New Roman"/>
          <w:color w:val="auto"/>
          <w:lang w:val="sr-Cyrl-RS"/>
        </w:rPr>
        <w:t>се изводе од савремених и квалитетних материјала атестираних, прописане носивости, отпорности и без негативних дејстава. На производним објектима кровни покривач може бити са малим падовима (лим и сл. покривачи) а могућ је и раван кров.</w:t>
      </w:r>
    </w:p>
    <w:p w14:paraId="6742D727" w14:textId="6A692BC8" w:rsid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Помоћни објекти могу бити од скромнијих грађевинских материјала али прописане носивости, функционалности према намени и уз прописани естетски критеријум. Код помоћних објеката отварање на фасадама врши се према властитом дворишту према функционалном склопу. Кровови су двоводни покривени црепом а атмосферске воде се одводе у властито двориште. Сви објекти зависно од намене морају бити опремљени потребним инсталацијама, обавезно: водовод, септичка јама (до опремања насеља јавном канализацијом), електричном енергијом, док је гас и ТК по потреби инвеститора.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реализације.</w:t>
      </w:r>
    </w:p>
    <w:p w14:paraId="5FC176D0" w14:textId="5D0CAE33" w:rsidR="00B45B79" w:rsidRDefault="00B45B79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A83BE42" w14:textId="77777777" w:rsidR="00B45B79" w:rsidRPr="009C3BE0" w:rsidRDefault="00B45B79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A44DCE5" w14:textId="745A2E12" w:rsid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2A662BF" w14:textId="77777777" w:rsidR="00594C3B" w:rsidRPr="009C3BE0" w:rsidRDefault="00594C3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EDAFBFC" w14:textId="12B178B5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lastRenderedPageBreak/>
        <w:t>Положај објекта на парцели, регулациона и грађевинска линије</w:t>
      </w:r>
    </w:p>
    <w:p w14:paraId="0201AE45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Лоцирање објеката у радним зонама ће зависити од успостављене функционале шеме и технолошког поступка. За сложене намене на парцелама, регулација ће се утврдити кроз израду плана разраде или УПР-а урбанистичко архитектонског решења.</w:t>
      </w:r>
    </w:p>
    <w:p w14:paraId="158737A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Најмања удаљеност предње грађевинске линије је 6,0м од регулационе линије.</w:t>
      </w:r>
    </w:p>
    <w:p w14:paraId="7F6DD58E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 улицама које су категоризоване као државни путеви II реда (улица Крњешевачка), могуће је постављање објеката на 10,0m у односу на регулациону линију. Изузетно објекат се може поставити на регулацију уз сагласност управљача пута - ЈП „Путеви Србије“ и мишљење управљача канала - ЈВП „Воде Војводине“.</w:t>
      </w:r>
    </w:p>
    <w:p w14:paraId="33A6B70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Бочне грађевинске линије одмичу се за 5,0m од суседних граница парцеле. Грађевинска линија се поставља на удаљености од најмање 8,0m од круне канала.</w:t>
      </w:r>
    </w:p>
    <w:p w14:paraId="1DC8468F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747AC93" w14:textId="20BE3F7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прикључења на инфраструктуру</w:t>
      </w:r>
    </w:p>
    <w:p w14:paraId="03B447F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363989E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86D0F9B" w14:textId="0F8DC13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Подаци о парцели и парцелацији</w:t>
      </w:r>
    </w:p>
    <w:p w14:paraId="6AFC8439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>Предметна катастарска парцела број 1961/16 К.О.Шимановци налази се у грађевинском подручју насеља Шимановци блок Б-1-2, у радној зони. Предметна катастарска парцела бр. 1961/16 К.О.Шимановци има излаз на постојећи коридор саобраћајнице С-7 са северне стране парцеле.</w:t>
      </w:r>
      <w:r w:rsidRPr="009C3BE0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7469738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C81960D" w14:textId="066AEC3E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Инжењерско – геолошки услови</w:t>
      </w:r>
    </w:p>
    <w:p w14:paraId="6266376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Шимановци, као и читава општина Пећинци, припада зони са умереним степеном сеизмичности од 7</w:t>
      </w:r>
      <w:r w:rsidRPr="009C3BE0">
        <w:rPr>
          <w:rFonts w:ascii="Times New Roman" w:hAnsi="Times New Roman" w:cs="Times New Roman"/>
          <w:color w:val="auto"/>
          <w:vertAlign w:val="superscript"/>
          <w:lang w:val="sr-Cyrl-RS"/>
        </w:rPr>
        <w:t>о</w:t>
      </w:r>
      <w:r w:rsidRPr="009C3BE0">
        <w:rPr>
          <w:rFonts w:ascii="Times New Roman" w:hAnsi="Times New Roman" w:cs="Times New Roman"/>
          <w:color w:val="auto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0667691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83783ED" w14:textId="06E00A95" w:rsidR="009C3BE0" w:rsidRPr="009C3BE0" w:rsidRDefault="009C3BE0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594C3B"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14CCFC82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Урбанистички пројекат ће се израђивати за локације које имају дефинисану регулацију, али којима је услед планиране сложене намене или величине објекта, комплекса и парцеле потребно утврдити посебна правила за уређење и изградњу на парцели: </w:t>
      </w:r>
    </w:p>
    <w:p w14:paraId="16FFBFCD" w14:textId="77777777" w:rsidR="009C3BE0" w:rsidRPr="009C3BE0" w:rsidRDefault="009C3BE0" w:rsidP="009C3BE0">
      <w:pPr>
        <w:pStyle w:val="Default"/>
        <w:spacing w:after="31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за Пројекте са Листе I и II Уредбе о одређивању активности чије обављање утиче на животну средину; </w:t>
      </w:r>
    </w:p>
    <w:p w14:paraId="6C6DD444" w14:textId="77777777" w:rsidR="009C3BE0" w:rsidRPr="009C3BE0" w:rsidRDefault="009C3BE0" w:rsidP="009C3BE0">
      <w:pPr>
        <w:pStyle w:val="Default"/>
        <w:spacing w:after="31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за објекте на чију сагласност на техничку документацију у погледу мера заштите од пожара даје подручна јединица органа надлежног Министарства; </w:t>
      </w:r>
    </w:p>
    <w:p w14:paraId="4C7528C4" w14:textId="77777777" w:rsidR="009C3BE0" w:rsidRPr="009C3BE0" w:rsidRDefault="009C3BE0" w:rsidP="009C3BE0">
      <w:pPr>
        <w:pStyle w:val="Default"/>
        <w:spacing w:after="31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за локације за које је потребна сагласност ЈП „Електромрежа Србије“; </w:t>
      </w:r>
    </w:p>
    <w:p w14:paraId="45A9CEFB" w14:textId="77777777" w:rsidR="009C3BE0" w:rsidRPr="009C3BE0" w:rsidRDefault="009C3BE0" w:rsidP="009C3BE0">
      <w:pPr>
        <w:pStyle w:val="Default"/>
        <w:spacing w:after="31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зa објекте чија су правила уређења и грађења прописана другим прописима и стандардима (објекти социјалне заштите, објекти образовања и др.); </w:t>
      </w:r>
    </w:p>
    <w:p w14:paraId="1E763C9E" w14:textId="77777777" w:rsidR="009C3BE0" w:rsidRPr="009C3BE0" w:rsidRDefault="009C3BE0" w:rsidP="009C3BE0">
      <w:pPr>
        <w:pStyle w:val="Default"/>
        <w:spacing w:after="31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- за локације за које је неопходна сагласност Завода за заштиту споменика културе Сремска Митровица; </w:t>
      </w:r>
    </w:p>
    <w:p w14:paraId="39002D2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- за локације за које је неопходна сагласност Покрајинског завода за заштиту природе.</w:t>
      </w:r>
    </w:p>
    <w:p w14:paraId="56D1DE8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C52D050" w14:textId="26C08C98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Ограничења</w:t>
      </w:r>
    </w:p>
    <w:p w14:paraId="200E5CCA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620A6F0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45530C0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lastRenderedPageBreak/>
        <w:t>У радним зонама не могу бити заступљене делатности које врше загађење животне средине (тла, ваздуха, воде).</w:t>
      </w:r>
    </w:p>
    <w:p w14:paraId="1E006ABE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Обавезна израда урбанистичког пројекта условљена је уколико изградња објеката испуњава услове у тачки 10. </w:t>
      </w:r>
    </w:p>
    <w:p w14:paraId="7D3A8C2F" w14:textId="6A34300D" w:rsidR="00983A12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За све производне, прерађивачке, складишне и друге садржаје који могу негативно утицати на стање животне средине, неопходна је израда Студије о процени утицаја објеката на животну средину.</w:t>
      </w:r>
    </w:p>
    <w:p w14:paraId="6F2445B3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</w:p>
    <w:p w14:paraId="207D048C" w14:textId="77777777" w:rsidR="00E240DE" w:rsidRPr="00214E25" w:rsidRDefault="00E240DE" w:rsidP="00B108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0970CF2C" w:rsidR="00B726E5" w:rsidRPr="00214E25" w:rsidRDefault="002B4BF7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1.440,00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6.059.520,00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149715C1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2B4BF7">
        <w:rPr>
          <w:rFonts w:ascii="Times New Roman" w:hAnsi="Times New Roman"/>
          <w:sz w:val="24"/>
          <w:szCs w:val="24"/>
          <w:lang w:val="sr-Cyrl-RS"/>
        </w:rPr>
        <w:t>шестмилионапедесетдеветхиљадапетстодвадесет 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3C8E991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2B4BF7">
        <w:rPr>
          <w:rFonts w:ascii="Times New Roman" w:hAnsi="Times New Roman"/>
          <w:b/>
          <w:sz w:val="24"/>
          <w:szCs w:val="24"/>
          <w:lang w:val="sr-Cyrl-CS"/>
        </w:rPr>
        <w:t>605.952,00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2B4BF7">
        <w:rPr>
          <w:rFonts w:ascii="Times New Roman" w:hAnsi="Times New Roman"/>
          <w:sz w:val="24"/>
          <w:szCs w:val="24"/>
          <w:lang w:val="sr-Cyrl-CS"/>
        </w:rPr>
        <w:t>шестопетхиљададецетстопедесетдва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00/100)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59B8D9CD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r w:rsidR="002B4BF7">
        <w:fldChar w:fldCharType="begin"/>
      </w:r>
      <w:r w:rsidR="002B4BF7">
        <w:instrText xml:space="preserve"> HYPERLINK "http://www.pecinci.org" </w:instrText>
      </w:r>
      <w:r w:rsidR="002B4BF7">
        <w:fldChar w:fldCharType="separate"/>
      </w:r>
      <w:r w:rsidRPr="00214E25">
        <w:rPr>
          <w:rStyle w:val="Hyperlink"/>
          <w:rFonts w:ascii="Times New Roman" w:hAnsi="Times New Roman"/>
          <w:b/>
          <w:sz w:val="24"/>
          <w:szCs w:val="24"/>
        </w:rPr>
        <w:t>www</w:t>
      </w:r>
      <w:r w:rsidRPr="00214E25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214E25">
        <w:rPr>
          <w:rStyle w:val="Hyperlink"/>
          <w:rFonts w:ascii="Times New Roman" w:hAnsi="Times New Roman"/>
          <w:b/>
          <w:sz w:val="24"/>
          <w:szCs w:val="24"/>
        </w:rPr>
        <w:t>pecinci</w:t>
      </w:r>
      <w:proofErr w:type="spellEnd"/>
      <w:r w:rsidRPr="00214E25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214E25">
        <w:rPr>
          <w:rStyle w:val="Hyperlink"/>
          <w:rFonts w:ascii="Times New Roman" w:hAnsi="Times New Roman"/>
          <w:b/>
          <w:sz w:val="24"/>
          <w:szCs w:val="24"/>
        </w:rPr>
        <w:t>org</w:t>
      </w:r>
      <w:r w:rsidR="002B4BF7">
        <w:rPr>
          <w:rStyle w:val="Hyperlink"/>
          <w:rFonts w:ascii="Times New Roman" w:hAnsi="Times New Roman"/>
          <w:b/>
          <w:sz w:val="24"/>
          <w:szCs w:val="24"/>
        </w:rPr>
        <w:fldChar w:fldCharType="end"/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B4BF7">
        <w:rPr>
          <w:rFonts w:ascii="Times New Roman" w:hAnsi="Times New Roman"/>
          <w:sz w:val="24"/>
          <w:szCs w:val="24"/>
          <w:lang w:val="ru-RU"/>
        </w:rPr>
        <w:t xml:space="preserve">Пећиначким 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2B4BF7">
        <w:rPr>
          <w:rFonts w:ascii="Times New Roman" w:hAnsi="Times New Roman"/>
          <w:sz w:val="24"/>
          <w:szCs w:val="24"/>
          <w:lang w:val="ru-RU"/>
        </w:rPr>
        <w:t>23.06.2021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A31348" w:rsidRPr="00214E25">
        <w:rPr>
          <w:rFonts w:ascii="Times New Roman" w:hAnsi="Times New Roman"/>
          <w:sz w:val="24"/>
          <w:szCs w:val="24"/>
          <w:lang w:val="sr-Cyrl-CS"/>
        </w:rPr>
        <w:t>1</w:t>
      </w:r>
      <w:r w:rsidR="002B4BF7">
        <w:rPr>
          <w:rFonts w:ascii="Times New Roman" w:hAnsi="Times New Roman"/>
          <w:sz w:val="24"/>
          <w:szCs w:val="24"/>
          <w:lang w:val="sr-Cyrl-CS"/>
        </w:rPr>
        <w:t>2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</w:t>
      </w: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51AE92A8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2B4BF7">
        <w:rPr>
          <w:rFonts w:ascii="Times New Roman" w:hAnsi="Times New Roman"/>
          <w:b/>
          <w:sz w:val="24"/>
          <w:szCs w:val="24"/>
          <w:lang w:val="sr-Cyrl-CS"/>
        </w:rPr>
        <w:t>24.06</w:t>
      </w:r>
      <w:r w:rsidR="009C3BE0">
        <w:rPr>
          <w:rFonts w:ascii="Times New Roman" w:hAnsi="Times New Roman"/>
          <w:b/>
          <w:sz w:val="24"/>
          <w:szCs w:val="24"/>
          <w:lang w:val="sr-Cyrl-CS"/>
        </w:rPr>
        <w:t>.2021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2B4BF7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proofErr w:type="spellStart"/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proofErr w:type="spellEnd"/>
      <w:r w:rsidRPr="00214E25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214E25">
        <w:rPr>
          <w:rFonts w:ascii="Times New Roman" w:hAnsi="Times New Roman"/>
          <w:sz w:val="24"/>
          <w:szCs w:val="24"/>
        </w:rPr>
        <w:t>pecinci</w:t>
      </w:r>
      <w:proofErr w:type="spellEnd"/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F6FA" w14:textId="77777777" w:rsidR="00896478" w:rsidRDefault="00896478">
      <w:pPr>
        <w:spacing w:after="0" w:line="240" w:lineRule="auto"/>
      </w:pPr>
      <w:r>
        <w:separator/>
      </w:r>
    </w:p>
  </w:endnote>
  <w:endnote w:type="continuationSeparator" w:id="0">
    <w:p w14:paraId="31214483" w14:textId="77777777" w:rsidR="00896478" w:rsidRDefault="008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9065" w14:textId="00B047CA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C514FE">
      <w:rPr>
        <w:rFonts w:ascii="Times New Roman" w:hAnsi="Times New Roman"/>
        <w:noProof/>
      </w:rPr>
      <w:t>1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7C1F" w14:textId="77777777" w:rsidR="00896478" w:rsidRDefault="00896478">
      <w:pPr>
        <w:spacing w:after="0" w:line="240" w:lineRule="auto"/>
      </w:pPr>
      <w:r>
        <w:separator/>
      </w:r>
    </w:p>
  </w:footnote>
  <w:footnote w:type="continuationSeparator" w:id="0">
    <w:p w14:paraId="79B2924F" w14:textId="77777777" w:rsidR="00896478" w:rsidRDefault="00896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D5"/>
    <w:rsid w:val="00061557"/>
    <w:rsid w:val="00090014"/>
    <w:rsid w:val="000E3648"/>
    <w:rsid w:val="001256BB"/>
    <w:rsid w:val="0014050D"/>
    <w:rsid w:val="00175F35"/>
    <w:rsid w:val="00190D74"/>
    <w:rsid w:val="00214E25"/>
    <w:rsid w:val="00221B84"/>
    <w:rsid w:val="0024010A"/>
    <w:rsid w:val="00265A0A"/>
    <w:rsid w:val="002945E4"/>
    <w:rsid w:val="002B4BF7"/>
    <w:rsid w:val="002C6E1A"/>
    <w:rsid w:val="002E09FF"/>
    <w:rsid w:val="002F6D07"/>
    <w:rsid w:val="00306B56"/>
    <w:rsid w:val="0031530F"/>
    <w:rsid w:val="00322863"/>
    <w:rsid w:val="00336225"/>
    <w:rsid w:val="00340804"/>
    <w:rsid w:val="003F10F5"/>
    <w:rsid w:val="003F28CE"/>
    <w:rsid w:val="00453422"/>
    <w:rsid w:val="00462095"/>
    <w:rsid w:val="004859D6"/>
    <w:rsid w:val="004C5763"/>
    <w:rsid w:val="004F0C30"/>
    <w:rsid w:val="00594C3B"/>
    <w:rsid w:val="005B4C47"/>
    <w:rsid w:val="0062152B"/>
    <w:rsid w:val="006858CE"/>
    <w:rsid w:val="00742672"/>
    <w:rsid w:val="00746E08"/>
    <w:rsid w:val="0080141F"/>
    <w:rsid w:val="00896011"/>
    <w:rsid w:val="00896478"/>
    <w:rsid w:val="008C0A0F"/>
    <w:rsid w:val="008C4BDE"/>
    <w:rsid w:val="00983A12"/>
    <w:rsid w:val="009A5404"/>
    <w:rsid w:val="009A7980"/>
    <w:rsid w:val="009C3BE0"/>
    <w:rsid w:val="009C49D7"/>
    <w:rsid w:val="00A034F7"/>
    <w:rsid w:val="00A31348"/>
    <w:rsid w:val="00AA5F4B"/>
    <w:rsid w:val="00AA71D7"/>
    <w:rsid w:val="00AB5E3B"/>
    <w:rsid w:val="00AB784F"/>
    <w:rsid w:val="00AF09E9"/>
    <w:rsid w:val="00AF19A0"/>
    <w:rsid w:val="00B108DA"/>
    <w:rsid w:val="00B45B79"/>
    <w:rsid w:val="00B57682"/>
    <w:rsid w:val="00B726E5"/>
    <w:rsid w:val="00BB3350"/>
    <w:rsid w:val="00BC5181"/>
    <w:rsid w:val="00BD6C37"/>
    <w:rsid w:val="00C514FE"/>
    <w:rsid w:val="00C63F9A"/>
    <w:rsid w:val="00CB2D21"/>
    <w:rsid w:val="00CD6738"/>
    <w:rsid w:val="00D078DD"/>
    <w:rsid w:val="00D75E12"/>
    <w:rsid w:val="00E14017"/>
    <w:rsid w:val="00E240DE"/>
    <w:rsid w:val="00E31BF4"/>
    <w:rsid w:val="00E3260E"/>
    <w:rsid w:val="00E42E98"/>
    <w:rsid w:val="00E82C81"/>
    <w:rsid w:val="00EA576B"/>
    <w:rsid w:val="00EC2DA3"/>
    <w:rsid w:val="00F13754"/>
    <w:rsid w:val="00F61D23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2B16-A204-407A-83C7-A0F83B38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OUP-158</cp:lastModifiedBy>
  <cp:revision>2</cp:revision>
  <cp:lastPrinted>2021-02-24T07:31:00Z</cp:lastPrinted>
  <dcterms:created xsi:type="dcterms:W3CDTF">2021-05-24T07:14:00Z</dcterms:created>
  <dcterms:modified xsi:type="dcterms:W3CDTF">2021-05-24T07:14:00Z</dcterms:modified>
</cp:coreProperties>
</file>